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3D4D" w14:textId="580AF958" w:rsidR="00C727AB" w:rsidRPr="009869A2" w:rsidRDefault="002561C0" w:rsidP="00C727AB">
      <w:pPr>
        <w:spacing w:before="81" w:line="259" w:lineRule="auto"/>
        <w:ind w:left="960" w:right="1729"/>
        <w:jc w:val="center"/>
        <w:rPr>
          <w:rFonts w:ascii="Arial" w:hAnsi="Arial" w:cs="Arial"/>
          <w:sz w:val="44"/>
        </w:rPr>
      </w:pPr>
      <w:bookmarkStart w:id="0" w:name="_Hlk146179713"/>
      <w:r w:rsidRPr="002561C0">
        <w:rPr>
          <w:rFonts w:ascii="Arial" w:hAnsi="Arial" w:cs="Arial"/>
          <w:bCs/>
          <w:sz w:val="44"/>
        </w:rPr>
        <w:t>Private Employer Influenza and COVID-19 Vaccination Program (Private Employer Program)</w:t>
      </w:r>
      <w:r>
        <w:rPr>
          <w:rFonts w:ascii="Arial" w:hAnsi="Arial" w:cs="Arial"/>
          <w:b/>
          <w:spacing w:val="-10"/>
          <w:sz w:val="24"/>
          <w:szCs w:val="24"/>
        </w:rPr>
        <w:t xml:space="preserve"> </w:t>
      </w:r>
      <w:bookmarkEnd w:id="0"/>
      <w:r w:rsidR="00A66452" w:rsidRPr="009869A2">
        <w:rPr>
          <w:rFonts w:ascii="Arial" w:hAnsi="Arial" w:cs="Arial"/>
          <w:b/>
          <w:sz w:val="44"/>
        </w:rPr>
        <w:t>Guidance Package</w:t>
      </w:r>
    </w:p>
    <w:p w14:paraId="69B45CA2" w14:textId="39A1C1BD" w:rsidR="00A66452" w:rsidRPr="009869A2" w:rsidRDefault="00A66452" w:rsidP="00F54EF8">
      <w:pPr>
        <w:pStyle w:val="BodyText"/>
        <w:spacing w:before="178" w:line="259" w:lineRule="auto"/>
        <w:rPr>
          <w:sz w:val="24"/>
          <w:szCs w:val="24"/>
        </w:rPr>
      </w:pPr>
      <w:r w:rsidRPr="009869A2">
        <w:rPr>
          <w:sz w:val="24"/>
          <w:szCs w:val="24"/>
        </w:rPr>
        <w:t xml:space="preserve">The </w:t>
      </w:r>
      <w:r w:rsidR="002561C0" w:rsidRPr="002561C0">
        <w:rPr>
          <w:sz w:val="24"/>
          <w:szCs w:val="24"/>
        </w:rPr>
        <w:t>Private Employer Program</w:t>
      </w:r>
      <w:r w:rsidR="002561C0" w:rsidRPr="009869A2">
        <w:rPr>
          <w:sz w:val="24"/>
          <w:szCs w:val="24"/>
        </w:rPr>
        <w:t xml:space="preserve"> </w:t>
      </w:r>
      <w:r w:rsidRPr="009869A2">
        <w:rPr>
          <w:sz w:val="24"/>
          <w:szCs w:val="24"/>
        </w:rPr>
        <w:t>provides support to employers in Newfoundland and Labrador to undertake influenza</w:t>
      </w:r>
      <w:r w:rsidR="005459F8" w:rsidRPr="009869A2">
        <w:rPr>
          <w:sz w:val="24"/>
          <w:szCs w:val="24"/>
        </w:rPr>
        <w:t xml:space="preserve"> and COVID-19</w:t>
      </w:r>
      <w:r w:rsidR="002C13F7" w:rsidRPr="009869A2">
        <w:rPr>
          <w:sz w:val="24"/>
          <w:szCs w:val="24"/>
        </w:rPr>
        <w:t xml:space="preserve"> booster</w:t>
      </w:r>
      <w:r w:rsidRPr="009869A2">
        <w:rPr>
          <w:sz w:val="24"/>
          <w:szCs w:val="24"/>
        </w:rPr>
        <w:t xml:space="preserve"> vaccination clinics for their employees.</w:t>
      </w:r>
    </w:p>
    <w:p w14:paraId="6D64D40A" w14:textId="77777777" w:rsidR="002561C0" w:rsidRDefault="00A66452" w:rsidP="002561C0">
      <w:pPr>
        <w:pStyle w:val="BodyText"/>
        <w:spacing w:before="160" w:line="259" w:lineRule="auto"/>
        <w:rPr>
          <w:sz w:val="24"/>
          <w:szCs w:val="24"/>
        </w:rPr>
      </w:pPr>
      <w:r w:rsidRPr="009869A2" w:rsidDel="00530CE2">
        <w:rPr>
          <w:sz w:val="24"/>
          <w:szCs w:val="24"/>
        </w:rPr>
        <w:t xml:space="preserve">This guidance package has been compiled to assist employers and immunizers with the facilitation and coordination of </w:t>
      </w:r>
      <w:r w:rsidR="002561C0">
        <w:rPr>
          <w:sz w:val="24"/>
          <w:szCs w:val="24"/>
        </w:rPr>
        <w:t xml:space="preserve">the </w:t>
      </w:r>
      <w:r w:rsidR="002561C0" w:rsidRPr="002561C0">
        <w:rPr>
          <w:sz w:val="24"/>
          <w:szCs w:val="24"/>
        </w:rPr>
        <w:t>Private Employer Program</w:t>
      </w:r>
      <w:r w:rsidR="002561C0">
        <w:rPr>
          <w:sz w:val="24"/>
          <w:szCs w:val="24"/>
        </w:rPr>
        <w:t>.</w:t>
      </w:r>
    </w:p>
    <w:p w14:paraId="48532CC9" w14:textId="14F411C5" w:rsidR="00A66452" w:rsidRDefault="00A66452" w:rsidP="002561C0">
      <w:pPr>
        <w:pStyle w:val="BodyText"/>
        <w:spacing w:before="160" w:line="259" w:lineRule="auto"/>
        <w:rPr>
          <w:color w:val="0000FF"/>
          <w:sz w:val="24"/>
          <w:szCs w:val="24"/>
          <w:u w:val="single"/>
        </w:rPr>
      </w:pPr>
      <w:r w:rsidRPr="009869A2">
        <w:rPr>
          <w:sz w:val="24"/>
          <w:szCs w:val="24"/>
        </w:rPr>
        <w:t xml:space="preserve">Below is a brief outline of the documents and forms </w:t>
      </w:r>
      <w:r w:rsidR="003D2F88" w:rsidRPr="009869A2">
        <w:rPr>
          <w:sz w:val="24"/>
          <w:szCs w:val="24"/>
        </w:rPr>
        <w:t xml:space="preserve">needed for </w:t>
      </w:r>
      <w:r w:rsidR="002561C0" w:rsidRPr="002561C0">
        <w:rPr>
          <w:sz w:val="24"/>
          <w:szCs w:val="24"/>
        </w:rPr>
        <w:t>Private Employer Program</w:t>
      </w:r>
      <w:r w:rsidR="003D2F88" w:rsidRPr="009869A2">
        <w:rPr>
          <w:sz w:val="24"/>
          <w:szCs w:val="24"/>
        </w:rPr>
        <w:t>.</w:t>
      </w:r>
      <w:r w:rsidR="005D4F52">
        <w:rPr>
          <w:sz w:val="24"/>
          <w:szCs w:val="24"/>
        </w:rPr>
        <w:t xml:space="preserve"> </w:t>
      </w:r>
      <w:r w:rsidR="005C2A4B" w:rsidRPr="005D4F52">
        <w:rPr>
          <w:sz w:val="24"/>
          <w:szCs w:val="24"/>
        </w:rPr>
        <w:t>D</w:t>
      </w:r>
      <w:r w:rsidR="00FB46D8" w:rsidRPr="005D4F52">
        <w:rPr>
          <w:sz w:val="24"/>
          <w:szCs w:val="24"/>
        </w:rPr>
        <w:t xml:space="preserve">ocuments </w:t>
      </w:r>
      <w:r w:rsidR="005D4F52">
        <w:rPr>
          <w:sz w:val="24"/>
          <w:szCs w:val="24"/>
        </w:rPr>
        <w:t xml:space="preserve">can also </w:t>
      </w:r>
      <w:r w:rsidR="00B76888">
        <w:rPr>
          <w:sz w:val="24"/>
          <w:szCs w:val="24"/>
        </w:rPr>
        <w:t xml:space="preserve">be found </w:t>
      </w:r>
      <w:r w:rsidR="005459F8" w:rsidRPr="005D4F52">
        <w:rPr>
          <w:sz w:val="24"/>
          <w:szCs w:val="24"/>
        </w:rPr>
        <w:t>on the website</w:t>
      </w:r>
      <w:r w:rsidR="003D2F88" w:rsidRPr="005D4F52">
        <w:rPr>
          <w:sz w:val="24"/>
          <w:szCs w:val="24"/>
        </w:rPr>
        <w:t xml:space="preserve"> </w:t>
      </w:r>
      <w:hyperlink r:id="rId7" w:history="1">
        <w:r w:rsidR="00C710F5" w:rsidRPr="005D4F52">
          <w:rPr>
            <w:color w:val="0000FF"/>
            <w:sz w:val="24"/>
            <w:szCs w:val="24"/>
            <w:u w:val="single"/>
          </w:rPr>
          <w:t>Time For The Shot - Time For The Shot</w:t>
        </w:r>
      </w:hyperlink>
      <w:r w:rsidR="005D4F52">
        <w:rPr>
          <w:color w:val="0000FF"/>
          <w:sz w:val="24"/>
          <w:szCs w:val="24"/>
          <w:u w:val="single"/>
        </w:rPr>
        <w:t>.</w:t>
      </w:r>
    </w:p>
    <w:p w14:paraId="39EA05B8" w14:textId="77777777" w:rsidR="005D4F52" w:rsidRPr="005D4F52" w:rsidRDefault="005D4F52" w:rsidP="005D4F52">
      <w:pPr>
        <w:pStyle w:val="BodyText"/>
        <w:spacing w:before="159"/>
        <w:rPr>
          <w:sz w:val="24"/>
          <w:szCs w:val="24"/>
        </w:rPr>
      </w:pPr>
    </w:p>
    <w:p w14:paraId="61EA307E" w14:textId="77777777" w:rsidR="005C2A4B" w:rsidRPr="009869A2" w:rsidRDefault="003549A6" w:rsidP="005D4F52">
      <w:pPr>
        <w:pStyle w:val="ListParagraph"/>
        <w:numPr>
          <w:ilvl w:val="0"/>
          <w:numId w:val="2"/>
        </w:numPr>
        <w:tabs>
          <w:tab w:val="left" w:pos="1743"/>
        </w:tabs>
        <w:ind w:left="720"/>
        <w:jc w:val="both"/>
        <w:rPr>
          <w:rFonts w:ascii="Arial" w:hAnsi="Arial" w:cs="Arial"/>
          <w:sz w:val="24"/>
          <w:szCs w:val="24"/>
        </w:rPr>
      </w:pPr>
      <w:r w:rsidRPr="009869A2">
        <w:rPr>
          <w:rFonts w:ascii="Arial" w:hAnsi="Arial" w:cs="Arial"/>
          <w:b/>
          <w:sz w:val="24"/>
          <w:szCs w:val="24"/>
        </w:rPr>
        <w:t xml:space="preserve">Policy </w:t>
      </w:r>
      <w:r w:rsidR="00A66452" w:rsidRPr="009869A2">
        <w:rPr>
          <w:rFonts w:ascii="Arial" w:hAnsi="Arial" w:cs="Arial"/>
          <w:b/>
          <w:sz w:val="24"/>
          <w:szCs w:val="24"/>
        </w:rPr>
        <w:t>Document</w:t>
      </w:r>
      <w:r w:rsidR="00A66452" w:rsidRPr="009869A2">
        <w:rPr>
          <w:rFonts w:ascii="Arial" w:hAnsi="Arial" w:cs="Arial"/>
          <w:sz w:val="24"/>
          <w:szCs w:val="24"/>
        </w:rPr>
        <w:t xml:space="preserve"> </w:t>
      </w:r>
    </w:p>
    <w:p w14:paraId="70534B01" w14:textId="1E05F556" w:rsidR="00A66452" w:rsidRPr="009869A2" w:rsidRDefault="00582313" w:rsidP="00E1656F">
      <w:pPr>
        <w:pStyle w:val="ListParagraph"/>
        <w:tabs>
          <w:tab w:val="left" w:pos="1743"/>
        </w:tabs>
        <w:ind w:left="720" w:firstLine="0"/>
        <w:jc w:val="both"/>
        <w:rPr>
          <w:rFonts w:ascii="Arial" w:hAnsi="Arial" w:cs="Arial"/>
          <w:sz w:val="24"/>
          <w:szCs w:val="24"/>
        </w:rPr>
      </w:pPr>
      <w:r>
        <w:rPr>
          <w:rFonts w:ascii="Arial" w:hAnsi="Arial" w:cs="Arial"/>
          <w:sz w:val="24"/>
          <w:szCs w:val="24"/>
        </w:rPr>
        <w:t>Private Employer Program Policy Document</w:t>
      </w:r>
    </w:p>
    <w:p w14:paraId="46716185" w14:textId="74D7DD16" w:rsidR="00A66452" w:rsidRDefault="00A66452" w:rsidP="00E1656F">
      <w:pPr>
        <w:pStyle w:val="ListParagraph"/>
        <w:numPr>
          <w:ilvl w:val="0"/>
          <w:numId w:val="8"/>
        </w:numPr>
        <w:tabs>
          <w:tab w:val="left" w:pos="720"/>
        </w:tabs>
        <w:spacing w:before="19" w:line="259" w:lineRule="auto"/>
        <w:ind w:left="1710" w:right="899"/>
        <w:rPr>
          <w:rFonts w:ascii="Arial" w:hAnsi="Arial" w:cs="Arial"/>
          <w:sz w:val="24"/>
          <w:szCs w:val="24"/>
        </w:rPr>
      </w:pPr>
      <w:r w:rsidRPr="009869A2">
        <w:rPr>
          <w:rFonts w:ascii="Arial" w:hAnsi="Arial" w:cs="Arial"/>
          <w:sz w:val="24"/>
          <w:szCs w:val="24"/>
        </w:rPr>
        <w:t xml:space="preserve">The document provides </w:t>
      </w:r>
      <w:r w:rsidR="003549A6" w:rsidRPr="009869A2">
        <w:rPr>
          <w:rFonts w:ascii="Arial" w:hAnsi="Arial" w:cs="Arial"/>
          <w:sz w:val="24"/>
          <w:szCs w:val="24"/>
        </w:rPr>
        <w:t xml:space="preserve">additional information about program, </w:t>
      </w:r>
      <w:r w:rsidR="006446E7" w:rsidRPr="009869A2">
        <w:rPr>
          <w:rFonts w:ascii="Arial" w:hAnsi="Arial" w:cs="Arial"/>
          <w:sz w:val="24"/>
          <w:szCs w:val="24"/>
        </w:rPr>
        <w:t>eligibility,</w:t>
      </w:r>
      <w:r w:rsidR="003549A6" w:rsidRPr="009869A2">
        <w:rPr>
          <w:rFonts w:ascii="Arial" w:hAnsi="Arial" w:cs="Arial"/>
          <w:sz w:val="24"/>
          <w:szCs w:val="24"/>
        </w:rPr>
        <w:t xml:space="preserve"> and procedures. </w:t>
      </w:r>
    </w:p>
    <w:p w14:paraId="06B70469" w14:textId="77777777" w:rsidR="005C2A4B" w:rsidRPr="009869A2" w:rsidRDefault="005C2A4B" w:rsidP="00C727AB">
      <w:pPr>
        <w:pStyle w:val="ListParagraph"/>
        <w:numPr>
          <w:ilvl w:val="0"/>
          <w:numId w:val="2"/>
        </w:numPr>
        <w:tabs>
          <w:tab w:val="left" w:pos="1743"/>
        </w:tabs>
        <w:ind w:left="720"/>
        <w:rPr>
          <w:rFonts w:ascii="Arial" w:hAnsi="Arial" w:cs="Arial"/>
          <w:sz w:val="24"/>
          <w:szCs w:val="24"/>
        </w:rPr>
      </w:pPr>
      <w:r w:rsidRPr="00376482">
        <w:rPr>
          <w:rFonts w:ascii="Arial" w:hAnsi="Arial" w:cs="Arial"/>
          <w:b/>
          <w:sz w:val="24"/>
          <w:szCs w:val="24"/>
        </w:rPr>
        <w:t>C</w:t>
      </w:r>
      <w:r w:rsidRPr="009869A2">
        <w:rPr>
          <w:rFonts w:ascii="Arial" w:hAnsi="Arial" w:cs="Arial"/>
          <w:b/>
          <w:sz w:val="24"/>
          <w:szCs w:val="24"/>
        </w:rPr>
        <w:t>onsent Form(s)</w:t>
      </w:r>
    </w:p>
    <w:p w14:paraId="3630E27F" w14:textId="52C974E0" w:rsidR="00A66452" w:rsidRPr="009869A2" w:rsidRDefault="00A66452" w:rsidP="00E1656F">
      <w:pPr>
        <w:pStyle w:val="ListParagraph"/>
        <w:tabs>
          <w:tab w:val="left" w:pos="1743"/>
        </w:tabs>
        <w:ind w:left="720" w:firstLine="0"/>
        <w:rPr>
          <w:rFonts w:ascii="Arial" w:hAnsi="Arial" w:cs="Arial"/>
          <w:sz w:val="24"/>
          <w:szCs w:val="24"/>
        </w:rPr>
      </w:pPr>
      <w:r w:rsidRPr="009869A2">
        <w:rPr>
          <w:rFonts w:ascii="Arial" w:hAnsi="Arial" w:cs="Arial"/>
          <w:sz w:val="24"/>
          <w:szCs w:val="24"/>
        </w:rPr>
        <w:t>Employer Seasonal Influenza</w:t>
      </w:r>
      <w:r w:rsidR="00843E0F" w:rsidRPr="009869A2">
        <w:rPr>
          <w:rFonts w:ascii="Arial" w:hAnsi="Arial" w:cs="Arial"/>
          <w:sz w:val="24"/>
          <w:szCs w:val="24"/>
        </w:rPr>
        <w:t xml:space="preserve"> Consent Form</w:t>
      </w:r>
      <w:r w:rsidR="005459F8" w:rsidRPr="009869A2">
        <w:rPr>
          <w:rFonts w:ascii="Arial" w:hAnsi="Arial" w:cs="Arial"/>
          <w:sz w:val="24"/>
          <w:szCs w:val="24"/>
        </w:rPr>
        <w:t xml:space="preserve"> and COVID-19</w:t>
      </w:r>
      <w:r w:rsidR="002C13F7" w:rsidRPr="009869A2">
        <w:rPr>
          <w:rFonts w:ascii="Arial" w:hAnsi="Arial" w:cs="Arial"/>
          <w:sz w:val="24"/>
          <w:szCs w:val="24"/>
        </w:rPr>
        <w:t xml:space="preserve"> </w:t>
      </w:r>
      <w:r w:rsidR="00582313">
        <w:rPr>
          <w:rFonts w:ascii="Arial" w:hAnsi="Arial" w:cs="Arial"/>
          <w:sz w:val="24"/>
          <w:szCs w:val="24"/>
        </w:rPr>
        <w:t>Consent Forms</w:t>
      </w:r>
    </w:p>
    <w:p w14:paraId="0C6DFE60" w14:textId="77777777" w:rsidR="00A66452" w:rsidRDefault="00A66452" w:rsidP="00E1656F">
      <w:pPr>
        <w:pStyle w:val="ListParagraph"/>
        <w:numPr>
          <w:ilvl w:val="1"/>
          <w:numId w:val="2"/>
        </w:numPr>
        <w:tabs>
          <w:tab w:val="left" w:pos="2462"/>
          <w:tab w:val="left" w:pos="2463"/>
        </w:tabs>
        <w:ind w:left="1800" w:hanging="361"/>
        <w:rPr>
          <w:rFonts w:ascii="Arial" w:hAnsi="Arial" w:cs="Arial"/>
          <w:sz w:val="24"/>
          <w:szCs w:val="24"/>
        </w:rPr>
      </w:pPr>
      <w:r w:rsidRPr="009869A2">
        <w:rPr>
          <w:rFonts w:ascii="Arial" w:hAnsi="Arial" w:cs="Arial"/>
          <w:sz w:val="24"/>
          <w:szCs w:val="24"/>
        </w:rPr>
        <w:t>This form is required to be completed for all individuals receiving the influenza</w:t>
      </w:r>
      <w:r w:rsidRPr="009869A2">
        <w:rPr>
          <w:rFonts w:ascii="Arial" w:hAnsi="Arial" w:cs="Arial"/>
          <w:spacing w:val="-17"/>
          <w:sz w:val="24"/>
          <w:szCs w:val="24"/>
        </w:rPr>
        <w:t xml:space="preserve"> </w:t>
      </w:r>
      <w:r w:rsidRPr="009869A2">
        <w:rPr>
          <w:rFonts w:ascii="Arial" w:hAnsi="Arial" w:cs="Arial"/>
          <w:sz w:val="24"/>
          <w:szCs w:val="24"/>
        </w:rPr>
        <w:t>vaccine.</w:t>
      </w:r>
    </w:p>
    <w:p w14:paraId="51C67E0C" w14:textId="77777777" w:rsidR="005D4F52" w:rsidRPr="005D4F52" w:rsidRDefault="005D4F52" w:rsidP="005D4F52">
      <w:pPr>
        <w:pStyle w:val="ListParagraph"/>
        <w:numPr>
          <w:ilvl w:val="0"/>
          <w:numId w:val="2"/>
        </w:numPr>
        <w:tabs>
          <w:tab w:val="left" w:pos="990"/>
        </w:tabs>
        <w:spacing w:before="2"/>
        <w:ind w:left="720"/>
        <w:jc w:val="both"/>
        <w:rPr>
          <w:rFonts w:ascii="Arial" w:hAnsi="Arial" w:cs="Arial"/>
          <w:b/>
          <w:sz w:val="24"/>
          <w:szCs w:val="24"/>
        </w:rPr>
      </w:pPr>
      <w:r w:rsidRPr="005D4F52">
        <w:rPr>
          <w:rFonts w:ascii="Arial" w:hAnsi="Arial" w:cs="Arial"/>
          <w:b/>
          <w:sz w:val="24"/>
          <w:szCs w:val="24"/>
        </w:rPr>
        <w:t>Vaccine Storage and Handing</w:t>
      </w:r>
      <w:r w:rsidRPr="005D4F52">
        <w:rPr>
          <w:rFonts w:ascii="Arial" w:hAnsi="Arial" w:cs="Arial"/>
          <w:b/>
          <w:spacing w:val="-2"/>
          <w:sz w:val="24"/>
          <w:szCs w:val="24"/>
        </w:rPr>
        <w:t xml:space="preserve"> </w:t>
      </w:r>
      <w:r w:rsidRPr="005D4F52">
        <w:rPr>
          <w:rFonts w:ascii="Arial" w:hAnsi="Arial" w:cs="Arial"/>
          <w:b/>
          <w:sz w:val="24"/>
          <w:szCs w:val="24"/>
        </w:rPr>
        <w:t>Factsheet.</w:t>
      </w:r>
    </w:p>
    <w:p w14:paraId="46DE678E" w14:textId="77777777" w:rsidR="005D4F52" w:rsidRPr="009869A2" w:rsidRDefault="005D4F52" w:rsidP="005D4F52">
      <w:pPr>
        <w:pStyle w:val="ListParagraph"/>
        <w:numPr>
          <w:ilvl w:val="0"/>
          <w:numId w:val="8"/>
        </w:numPr>
        <w:tabs>
          <w:tab w:val="left" w:pos="2895"/>
          <w:tab w:val="left" w:pos="3903"/>
        </w:tabs>
        <w:spacing w:before="19" w:line="256" w:lineRule="auto"/>
        <w:ind w:left="1710" w:right="164"/>
        <w:rPr>
          <w:rFonts w:ascii="Arial" w:hAnsi="Arial" w:cs="Arial"/>
          <w:sz w:val="24"/>
          <w:szCs w:val="24"/>
        </w:rPr>
      </w:pPr>
      <w:r w:rsidRPr="009869A2">
        <w:rPr>
          <w:rFonts w:ascii="Arial" w:hAnsi="Arial" w:cs="Arial"/>
          <w:sz w:val="24"/>
          <w:szCs w:val="24"/>
        </w:rPr>
        <w:t>Provides detailed guidance for immunizers regarding vaccine transportation and</w:t>
      </w:r>
      <w:r w:rsidRPr="009869A2">
        <w:rPr>
          <w:rFonts w:ascii="Arial" w:hAnsi="Arial" w:cs="Arial"/>
          <w:spacing w:val="-2"/>
          <w:sz w:val="24"/>
          <w:szCs w:val="24"/>
        </w:rPr>
        <w:t xml:space="preserve"> </w:t>
      </w:r>
      <w:r w:rsidRPr="009869A2">
        <w:rPr>
          <w:rFonts w:ascii="Arial" w:hAnsi="Arial" w:cs="Arial"/>
          <w:sz w:val="24"/>
          <w:szCs w:val="24"/>
        </w:rPr>
        <w:t>storage.</w:t>
      </w:r>
    </w:p>
    <w:p w14:paraId="5D377A37" w14:textId="77777777" w:rsidR="005D4F52" w:rsidRPr="005D4F52" w:rsidRDefault="005D4F52" w:rsidP="005D4F52">
      <w:pPr>
        <w:pStyle w:val="ListParagraph"/>
        <w:numPr>
          <w:ilvl w:val="0"/>
          <w:numId w:val="2"/>
        </w:numPr>
        <w:tabs>
          <w:tab w:val="left" w:pos="990"/>
          <w:tab w:val="left" w:pos="2520"/>
        </w:tabs>
        <w:spacing w:before="4"/>
        <w:ind w:left="720"/>
        <w:jc w:val="both"/>
        <w:rPr>
          <w:rFonts w:ascii="Arial" w:hAnsi="Arial" w:cs="Arial"/>
          <w:b/>
          <w:sz w:val="24"/>
          <w:szCs w:val="24"/>
        </w:rPr>
      </w:pPr>
      <w:r w:rsidRPr="005D4F52">
        <w:rPr>
          <w:rFonts w:ascii="Arial" w:hAnsi="Arial" w:cs="Arial"/>
          <w:b/>
          <w:sz w:val="24"/>
          <w:szCs w:val="24"/>
        </w:rPr>
        <w:t>Influenza Fact</w:t>
      </w:r>
      <w:r w:rsidRPr="005D4F52">
        <w:rPr>
          <w:rFonts w:ascii="Arial" w:hAnsi="Arial" w:cs="Arial"/>
          <w:b/>
          <w:spacing w:val="-1"/>
          <w:sz w:val="24"/>
          <w:szCs w:val="24"/>
        </w:rPr>
        <w:t xml:space="preserve"> </w:t>
      </w:r>
      <w:r w:rsidRPr="005D4F52">
        <w:rPr>
          <w:rFonts w:ascii="Arial" w:hAnsi="Arial" w:cs="Arial"/>
          <w:b/>
          <w:sz w:val="24"/>
          <w:szCs w:val="24"/>
        </w:rPr>
        <w:t>Sheet</w:t>
      </w:r>
    </w:p>
    <w:p w14:paraId="345882B2" w14:textId="77777777" w:rsidR="005D4F52" w:rsidRPr="009869A2" w:rsidRDefault="005D4F52" w:rsidP="005D4F52">
      <w:pPr>
        <w:pStyle w:val="ListParagraph"/>
        <w:numPr>
          <w:ilvl w:val="0"/>
          <w:numId w:val="8"/>
        </w:numPr>
        <w:tabs>
          <w:tab w:val="left" w:pos="2895"/>
          <w:tab w:val="left" w:pos="3903"/>
        </w:tabs>
        <w:spacing w:before="19"/>
        <w:ind w:left="1710"/>
        <w:rPr>
          <w:rFonts w:ascii="Arial" w:hAnsi="Arial" w:cs="Arial"/>
          <w:sz w:val="24"/>
          <w:szCs w:val="24"/>
        </w:rPr>
      </w:pPr>
      <w:r w:rsidRPr="009869A2">
        <w:rPr>
          <w:rFonts w:ascii="Arial" w:hAnsi="Arial" w:cs="Arial"/>
          <w:sz w:val="24"/>
          <w:szCs w:val="24"/>
        </w:rPr>
        <w:t>Provides guidance on the vaccine, such as possible side</w:t>
      </w:r>
      <w:r w:rsidRPr="009869A2">
        <w:rPr>
          <w:rFonts w:ascii="Arial" w:hAnsi="Arial" w:cs="Arial"/>
          <w:spacing w:val="-14"/>
          <w:sz w:val="24"/>
          <w:szCs w:val="24"/>
        </w:rPr>
        <w:t xml:space="preserve"> </w:t>
      </w:r>
      <w:r w:rsidRPr="009869A2">
        <w:rPr>
          <w:rFonts w:ascii="Arial" w:hAnsi="Arial" w:cs="Arial"/>
          <w:sz w:val="24"/>
          <w:szCs w:val="24"/>
        </w:rPr>
        <w:t>effects.</w:t>
      </w:r>
    </w:p>
    <w:p w14:paraId="429AC406" w14:textId="77777777" w:rsidR="005D4F52" w:rsidRPr="005D4F52" w:rsidRDefault="005D4F52" w:rsidP="005D4F52">
      <w:pPr>
        <w:pStyle w:val="ListParagraph"/>
        <w:numPr>
          <w:ilvl w:val="0"/>
          <w:numId w:val="2"/>
        </w:numPr>
        <w:tabs>
          <w:tab w:val="left" w:pos="990"/>
        </w:tabs>
        <w:spacing w:before="4"/>
        <w:ind w:left="720"/>
        <w:rPr>
          <w:rFonts w:ascii="Arial" w:hAnsi="Arial" w:cs="Arial"/>
          <w:b/>
          <w:sz w:val="24"/>
          <w:szCs w:val="24"/>
        </w:rPr>
      </w:pPr>
      <w:r w:rsidRPr="005D4F52">
        <w:rPr>
          <w:rFonts w:ascii="Arial" w:hAnsi="Arial" w:cs="Arial"/>
          <w:b/>
          <w:sz w:val="24"/>
          <w:szCs w:val="24"/>
        </w:rPr>
        <w:t>Immunization supply Order Form</w:t>
      </w:r>
    </w:p>
    <w:p w14:paraId="465F0075" w14:textId="77777777" w:rsidR="005D4F52" w:rsidRPr="009869A2" w:rsidRDefault="005D4F52" w:rsidP="005D4F52">
      <w:pPr>
        <w:pStyle w:val="ListParagraph"/>
        <w:numPr>
          <w:ilvl w:val="0"/>
          <w:numId w:val="8"/>
        </w:numPr>
        <w:tabs>
          <w:tab w:val="left" w:pos="2880"/>
        </w:tabs>
        <w:spacing w:before="19"/>
        <w:ind w:left="1710"/>
        <w:rPr>
          <w:rFonts w:ascii="Arial" w:hAnsi="Arial" w:cs="Arial"/>
          <w:sz w:val="24"/>
          <w:szCs w:val="24"/>
        </w:rPr>
      </w:pPr>
      <w:r w:rsidRPr="009869A2">
        <w:rPr>
          <w:rFonts w:ascii="Arial" w:hAnsi="Arial" w:cs="Arial"/>
          <w:sz w:val="24"/>
          <w:szCs w:val="24"/>
        </w:rPr>
        <w:t>This order form is required for immunizers to order necessary supplies to administer vaccines and PPE.</w:t>
      </w:r>
    </w:p>
    <w:p w14:paraId="45A16005" w14:textId="77777777" w:rsidR="005D4F52" w:rsidRPr="005D4F52" w:rsidRDefault="005D4F52" w:rsidP="005D4F52">
      <w:pPr>
        <w:pStyle w:val="ListParagraph"/>
        <w:numPr>
          <w:ilvl w:val="0"/>
          <w:numId w:val="2"/>
        </w:numPr>
        <w:tabs>
          <w:tab w:val="left" w:pos="2340"/>
          <w:tab w:val="left" w:pos="2895"/>
        </w:tabs>
        <w:spacing w:before="4"/>
        <w:ind w:left="720"/>
        <w:rPr>
          <w:rFonts w:ascii="Arial" w:hAnsi="Arial" w:cs="Arial"/>
          <w:b/>
          <w:sz w:val="24"/>
          <w:szCs w:val="24"/>
        </w:rPr>
      </w:pPr>
      <w:r w:rsidRPr="005D4F52">
        <w:rPr>
          <w:rFonts w:ascii="Arial" w:hAnsi="Arial" w:cs="Arial"/>
          <w:b/>
          <w:sz w:val="24"/>
          <w:szCs w:val="24"/>
        </w:rPr>
        <w:t>Documentation Cover Sheet</w:t>
      </w:r>
    </w:p>
    <w:p w14:paraId="5AED7FA6" w14:textId="77777777" w:rsidR="005D4F52" w:rsidRPr="009869A2" w:rsidRDefault="005D4F52" w:rsidP="005D4F52">
      <w:pPr>
        <w:pStyle w:val="ListParagraph"/>
        <w:numPr>
          <w:ilvl w:val="0"/>
          <w:numId w:val="8"/>
        </w:numPr>
        <w:tabs>
          <w:tab w:val="left" w:pos="2895"/>
          <w:tab w:val="left" w:pos="3903"/>
        </w:tabs>
        <w:spacing w:before="19"/>
        <w:ind w:left="1710"/>
        <w:rPr>
          <w:rFonts w:ascii="Arial" w:hAnsi="Arial" w:cs="Arial"/>
          <w:sz w:val="24"/>
          <w:szCs w:val="24"/>
        </w:rPr>
      </w:pPr>
      <w:r w:rsidRPr="009869A2">
        <w:rPr>
          <w:rFonts w:ascii="Arial" w:hAnsi="Arial" w:cs="Arial"/>
          <w:sz w:val="24"/>
          <w:szCs w:val="24"/>
        </w:rPr>
        <w:t xml:space="preserve">This form provides details that must be documented and returned to Newfoundland and Labrador Centre for Health Information (NLCHI) with consent forms. </w:t>
      </w:r>
    </w:p>
    <w:p w14:paraId="6446E95B" w14:textId="77777777" w:rsidR="00A66452" w:rsidRPr="009869A2" w:rsidRDefault="00A66452" w:rsidP="00F54EF8">
      <w:pPr>
        <w:pStyle w:val="BodyText"/>
        <w:rPr>
          <w:sz w:val="24"/>
          <w:szCs w:val="24"/>
        </w:rPr>
      </w:pPr>
    </w:p>
    <w:p w14:paraId="0F733109" w14:textId="25A1E221" w:rsidR="0091740C" w:rsidRPr="009869A2" w:rsidRDefault="00A66452" w:rsidP="00E1656F">
      <w:pPr>
        <w:pStyle w:val="BodyText"/>
        <w:rPr>
          <w:sz w:val="24"/>
          <w:szCs w:val="24"/>
        </w:rPr>
      </w:pPr>
      <w:r w:rsidRPr="009869A2">
        <w:rPr>
          <w:sz w:val="24"/>
          <w:szCs w:val="24"/>
        </w:rPr>
        <w:t xml:space="preserve">If, after reviewing this guidance package, you have questions or require further clarification, please email </w:t>
      </w:r>
      <w:hyperlink r:id="rId8" w:history="1">
        <w:r w:rsidR="00C66FDD" w:rsidRPr="00B10F33">
          <w:rPr>
            <w:rStyle w:val="Hyperlink"/>
            <w:sz w:val="24"/>
            <w:szCs w:val="24"/>
          </w:rPr>
          <w:t>OmPrakashYadav@gov.nl.ca</w:t>
        </w:r>
      </w:hyperlink>
      <w:r w:rsidR="00C66FDD">
        <w:rPr>
          <w:sz w:val="24"/>
          <w:szCs w:val="24"/>
        </w:rPr>
        <w:t xml:space="preserve"> </w:t>
      </w:r>
      <w:r w:rsidRPr="009869A2">
        <w:rPr>
          <w:sz w:val="24"/>
          <w:szCs w:val="24"/>
        </w:rPr>
        <w:t>for assistance</w:t>
      </w:r>
      <w:r w:rsidR="0091740C" w:rsidRPr="009869A2">
        <w:rPr>
          <w:sz w:val="24"/>
          <w:szCs w:val="24"/>
        </w:rPr>
        <w:t>.</w:t>
      </w:r>
      <w:r w:rsidR="0091740C" w:rsidRPr="009869A2">
        <w:rPr>
          <w:sz w:val="24"/>
          <w:szCs w:val="24"/>
        </w:rPr>
        <w:br w:type="page"/>
      </w:r>
    </w:p>
    <w:p w14:paraId="512CEC1A" w14:textId="77777777" w:rsidR="00A66452" w:rsidRPr="009869A2" w:rsidRDefault="00A66452" w:rsidP="00A66452">
      <w:pPr>
        <w:pStyle w:val="BodyText"/>
        <w:spacing w:before="7"/>
        <w:rPr>
          <w:b/>
          <w:sz w:val="11"/>
        </w:rPr>
      </w:pPr>
    </w:p>
    <w:p w14:paraId="436A8660" w14:textId="77777777" w:rsidR="00A66452" w:rsidRPr="009869A2" w:rsidRDefault="00A66452" w:rsidP="00A66452">
      <w:pPr>
        <w:pStyle w:val="BodyText"/>
        <w:spacing w:line="32" w:lineRule="exact"/>
        <w:ind w:left="1304"/>
        <w:rPr>
          <w:sz w:val="3"/>
        </w:rPr>
      </w:pPr>
    </w:p>
    <w:p w14:paraId="68B1DE0D" w14:textId="77777777" w:rsidR="00A66452" w:rsidRPr="009869A2" w:rsidRDefault="00C727AB" w:rsidP="00A66452">
      <w:pPr>
        <w:pStyle w:val="BodyText"/>
        <w:spacing w:before="8"/>
        <w:rPr>
          <w:b/>
          <w:sz w:val="24"/>
        </w:rPr>
      </w:pPr>
      <w:r w:rsidRPr="009869A2">
        <w:rPr>
          <w:noProof/>
          <w:sz w:val="3"/>
        </w:rPr>
        <mc:AlternateContent>
          <mc:Choice Requires="wpg">
            <w:drawing>
              <wp:inline distT="0" distB="0" distL="0" distR="0" wp14:anchorId="7BB0B4FB" wp14:editId="451BFD57">
                <wp:extent cx="5943600" cy="20320"/>
                <wp:effectExtent l="0" t="0" r="1905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0" y="0"/>
                          <a:chExt cx="9360" cy="32"/>
                        </a:xfrm>
                      </wpg:grpSpPr>
                      <wps:wsp>
                        <wps:cNvPr id="3" name="Line 3"/>
                        <wps:cNvCnPr>
                          <a:cxnSpLocks noChangeShapeType="1"/>
                        </wps:cNvCnPr>
                        <wps:spPr bwMode="auto">
                          <a:xfrm>
                            <a:off x="0" y="16"/>
                            <a:ext cx="9360" cy="0"/>
                          </a:xfrm>
                          <a:prstGeom prst="line">
                            <a:avLst/>
                          </a:prstGeom>
                          <a:noFill/>
                          <a:ln w="20320">
                            <a:solidFill>
                              <a:srgbClr val="5A5A5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2FFD13" id="Group 2" o:spid="_x0000_s1026" style="width:468pt;height:1.6pt;mso-position-horizontal-relative:char;mso-position-vertical-relative:line"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">
                <v:line id="Line 3" o:spid="_x0000_s1027" style="position:absolute;visibility:visible;mso-wrap-style:square" from="0,16" to="93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" strokecolor="#5a5a5a" strokeweight="1.6pt"/>
                <w10:anchorlock/>
              </v:group>
            </w:pict>
          </mc:Fallback>
        </mc:AlternateContent>
      </w:r>
    </w:p>
    <w:p w14:paraId="0AA07603" w14:textId="77777777" w:rsidR="00A66452" w:rsidRPr="009869A2" w:rsidRDefault="00A66452" w:rsidP="00C727AB">
      <w:pPr>
        <w:spacing w:before="86"/>
        <w:ind w:hanging="3"/>
        <w:jc w:val="center"/>
        <w:rPr>
          <w:rFonts w:ascii="Arial" w:hAnsi="Arial" w:cs="Arial"/>
          <w:b/>
          <w:sz w:val="32"/>
        </w:rPr>
      </w:pPr>
      <w:r w:rsidRPr="009869A2">
        <w:rPr>
          <w:rFonts w:ascii="Arial" w:hAnsi="Arial" w:cs="Arial"/>
          <w:b/>
          <w:sz w:val="32"/>
        </w:rPr>
        <w:t>Administration of Seasonal Influenza</w:t>
      </w:r>
      <w:r w:rsidR="003D2F88" w:rsidRPr="009869A2">
        <w:rPr>
          <w:rFonts w:ascii="Arial" w:hAnsi="Arial" w:cs="Arial"/>
          <w:b/>
          <w:sz w:val="32"/>
        </w:rPr>
        <w:t xml:space="preserve"> and</w:t>
      </w:r>
      <w:r w:rsidR="00452072" w:rsidRPr="009869A2">
        <w:rPr>
          <w:rFonts w:ascii="Arial" w:hAnsi="Arial" w:cs="Arial"/>
          <w:b/>
          <w:sz w:val="32"/>
        </w:rPr>
        <w:t xml:space="preserve"> Covid-19 Vaccine in Private E</w:t>
      </w:r>
      <w:r w:rsidRPr="009869A2">
        <w:rPr>
          <w:rFonts w:ascii="Arial" w:hAnsi="Arial" w:cs="Arial"/>
          <w:b/>
          <w:sz w:val="32"/>
        </w:rPr>
        <w:t>mployer Settings</w:t>
      </w:r>
    </w:p>
    <w:p w14:paraId="48DC0A09" w14:textId="77777777" w:rsidR="00A66452" w:rsidRPr="009869A2" w:rsidRDefault="00A66452" w:rsidP="00F54EF8">
      <w:pPr>
        <w:spacing w:before="8"/>
        <w:jc w:val="center"/>
        <w:rPr>
          <w:rFonts w:ascii="Arial" w:hAnsi="Arial" w:cs="Arial"/>
          <w:b/>
          <w:sz w:val="13"/>
        </w:rPr>
      </w:pPr>
      <w:r w:rsidRPr="009869A2">
        <w:rPr>
          <w:rFonts w:ascii="Arial" w:hAnsi="Arial" w:cs="Arial"/>
          <w:noProof/>
        </w:rPr>
        <mc:AlternateContent>
          <mc:Choice Requires="wps">
            <w:drawing>
              <wp:anchor distT="0" distB="0" distL="0" distR="0" simplePos="0" relativeHeight="251659264" behindDoc="1" locked="0" layoutInCell="1" allowOverlap="1" wp14:anchorId="5DD2CBB2" wp14:editId="7ADD4460">
                <wp:simplePos x="0" y="0"/>
                <wp:positionH relativeFrom="page">
                  <wp:posOffset>914400</wp:posOffset>
                </wp:positionH>
                <wp:positionV relativeFrom="paragraph">
                  <wp:posOffset>135255</wp:posOffset>
                </wp:positionV>
                <wp:extent cx="5943600" cy="1270"/>
                <wp:effectExtent l="19050" t="18415" r="19050" b="889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685">
                          <a:solidFill>
                            <a:srgbClr val="5A5A5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D3A5" id="Freeform 1" o:spid="_x0000_s1026" style="position:absolute;margin-left:1in;margin-top:10.65pt;width:4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" path="m,l9360,e" filled="f" strokecolor="#5a5a5a" strokeweight="1.55pt">
                <v:path arrowok="t" o:connecttype="custom" o:connectlocs="0,0;5943600,0" o:connectangles="0,0"/>
                <w10:wrap type="topAndBottom" anchorx="page"/>
              </v:shape>
            </w:pict>
          </mc:Fallback>
        </mc:AlternateContent>
      </w:r>
    </w:p>
    <w:p w14:paraId="3C79D6E8" w14:textId="77777777" w:rsidR="00A66452" w:rsidRPr="009869A2" w:rsidRDefault="00A66452" w:rsidP="00A66452">
      <w:pPr>
        <w:spacing w:before="10"/>
        <w:rPr>
          <w:rFonts w:ascii="Arial" w:hAnsi="Arial" w:cs="Arial"/>
          <w:b/>
          <w:sz w:val="17"/>
        </w:rPr>
      </w:pPr>
    </w:p>
    <w:p w14:paraId="293661BE" w14:textId="77777777" w:rsidR="00A66452" w:rsidRPr="009869A2" w:rsidRDefault="0091740C" w:rsidP="0091740C">
      <w:pPr>
        <w:tabs>
          <w:tab w:val="left" w:pos="720"/>
        </w:tabs>
        <w:spacing w:before="90"/>
        <w:rPr>
          <w:rFonts w:ascii="Arial" w:hAnsi="Arial" w:cs="Arial"/>
          <w:b/>
          <w:sz w:val="24"/>
        </w:rPr>
      </w:pPr>
      <w:r w:rsidRPr="009869A2">
        <w:rPr>
          <w:rFonts w:ascii="Arial" w:hAnsi="Arial" w:cs="Arial"/>
          <w:b/>
          <w:sz w:val="24"/>
        </w:rPr>
        <w:t>Recommended Recipients of Influenza Vaccine</w:t>
      </w:r>
    </w:p>
    <w:p w14:paraId="2650793C" w14:textId="77777777" w:rsidR="00A66452" w:rsidRPr="009869A2" w:rsidRDefault="00A66452" w:rsidP="00C727AB">
      <w:pPr>
        <w:tabs>
          <w:tab w:val="left" w:pos="0"/>
        </w:tabs>
        <w:rPr>
          <w:rFonts w:ascii="Arial" w:hAnsi="Arial" w:cs="Arial"/>
          <w:sz w:val="24"/>
        </w:rPr>
      </w:pPr>
      <w:r w:rsidRPr="009869A2">
        <w:rPr>
          <w:rFonts w:ascii="Arial" w:hAnsi="Arial" w:cs="Arial"/>
          <w:sz w:val="24"/>
        </w:rPr>
        <w:t>Recommended recipients of influenza vaccine are identified in the Newfoundland and Labrador Immunization Manual Section 3:</w:t>
      </w:r>
    </w:p>
    <w:p w14:paraId="7847CA03" w14:textId="77777777" w:rsidR="0091740C" w:rsidRPr="009869A2" w:rsidRDefault="00000000" w:rsidP="0091740C">
      <w:pPr>
        <w:rPr>
          <w:rFonts w:ascii="Arial" w:hAnsi="Arial" w:cs="Arial"/>
          <w:color w:val="0563C1"/>
          <w:sz w:val="24"/>
        </w:rPr>
      </w:pPr>
      <w:hyperlink r:id="rId9" w:history="1">
        <w:r w:rsidR="00F54EF8" w:rsidRPr="009869A2">
          <w:rPr>
            <w:rStyle w:val="Hyperlink"/>
            <w:rFonts w:ascii="Arial" w:hAnsi="Arial" w:cs="Arial"/>
            <w:sz w:val="24"/>
            <w:u w:color="0563C1"/>
          </w:rPr>
          <w:t>https://www.gov.nl.ca/hcs/files/publichealth-cdc-pdf-section-3-routine-immunization-products-</w:t>
        </w:r>
      </w:hyperlink>
      <w:r w:rsidR="00A66452" w:rsidRPr="009869A2">
        <w:rPr>
          <w:rFonts w:ascii="Arial" w:hAnsi="Arial" w:cs="Arial"/>
          <w:color w:val="0563C1"/>
          <w:sz w:val="24"/>
        </w:rPr>
        <w:t xml:space="preserve"> </w:t>
      </w:r>
      <w:hyperlink r:id="rId10">
        <w:r w:rsidR="00A66452" w:rsidRPr="009869A2">
          <w:rPr>
            <w:rFonts w:ascii="Arial" w:hAnsi="Arial" w:cs="Arial"/>
            <w:color w:val="0563C1"/>
            <w:sz w:val="24"/>
            <w:u w:val="single" w:color="0563C1"/>
          </w:rPr>
          <w:t>dec-3.pdf</w:t>
        </w:r>
        <w:r w:rsidR="00A66452" w:rsidRPr="009869A2">
          <w:rPr>
            <w:rFonts w:ascii="Arial" w:hAnsi="Arial" w:cs="Arial"/>
            <w:color w:val="0563C1"/>
            <w:sz w:val="24"/>
          </w:rPr>
          <w:t xml:space="preserve"> </w:t>
        </w:r>
      </w:hyperlink>
    </w:p>
    <w:p w14:paraId="751DBF69" w14:textId="77777777" w:rsidR="00A66452" w:rsidRPr="009869A2" w:rsidRDefault="0091740C" w:rsidP="0091740C">
      <w:pPr>
        <w:rPr>
          <w:rFonts w:ascii="Arial" w:hAnsi="Arial" w:cs="Arial"/>
          <w:sz w:val="24"/>
        </w:rPr>
      </w:pPr>
      <w:r w:rsidRPr="009869A2">
        <w:rPr>
          <w:rFonts w:ascii="Arial" w:hAnsi="Arial" w:cs="Arial"/>
          <w:sz w:val="24"/>
        </w:rPr>
        <w:t>For additional guidance see</w:t>
      </w:r>
      <w:r w:rsidR="00A66452" w:rsidRPr="009869A2">
        <w:rPr>
          <w:rFonts w:ascii="Arial" w:hAnsi="Arial" w:cs="Arial"/>
          <w:sz w:val="24"/>
        </w:rPr>
        <w:t xml:space="preserve"> the Canadian Immunization Guide and the annual statement provided by the National Advisory Committee on Immunization:</w:t>
      </w:r>
    </w:p>
    <w:p w14:paraId="114515C2" w14:textId="77777777" w:rsidR="003549A6" w:rsidRDefault="00000000" w:rsidP="0091740C">
      <w:pPr>
        <w:rPr>
          <w:rStyle w:val="Hyperlink"/>
          <w:rFonts w:ascii="Arial" w:eastAsia="Arial" w:hAnsi="Arial" w:cs="Arial"/>
          <w:sz w:val="24"/>
          <w:szCs w:val="24"/>
        </w:rPr>
      </w:pPr>
      <w:hyperlink r:id="rId11" w:history="1">
        <w:r w:rsidR="003549A6" w:rsidRPr="009869A2">
          <w:rPr>
            <w:rStyle w:val="Hyperlink"/>
            <w:rFonts w:ascii="Arial" w:eastAsia="Arial" w:hAnsi="Arial" w:cs="Arial"/>
            <w:sz w:val="24"/>
            <w:szCs w:val="24"/>
          </w:rPr>
          <w:t>Canadian Immunization Guide Chapter on Influenza and Statement on Seasonal Influenza Vaccine for 2022–2023 - Canada.ca</w:t>
        </w:r>
      </w:hyperlink>
    </w:p>
    <w:p w14:paraId="22607BA2" w14:textId="77777777" w:rsidR="00573EF9" w:rsidRDefault="00573EF9" w:rsidP="0091740C">
      <w:pPr>
        <w:rPr>
          <w:rStyle w:val="Hyperlink"/>
          <w:rFonts w:ascii="Arial" w:eastAsia="Arial" w:hAnsi="Arial" w:cs="Arial"/>
          <w:sz w:val="24"/>
          <w:szCs w:val="24"/>
        </w:rPr>
      </w:pPr>
    </w:p>
    <w:p w14:paraId="6A73CC9E" w14:textId="33E725EB" w:rsidR="00573EF9" w:rsidRDefault="00573EF9" w:rsidP="0091740C">
      <w:pPr>
        <w:rPr>
          <w:rFonts w:ascii="Arial" w:hAnsi="Arial" w:cs="Arial"/>
          <w:b/>
          <w:sz w:val="24"/>
        </w:rPr>
      </w:pPr>
      <w:r>
        <w:rPr>
          <w:rFonts w:ascii="Arial" w:hAnsi="Arial" w:cs="Arial"/>
          <w:b/>
          <w:sz w:val="24"/>
        </w:rPr>
        <w:t xml:space="preserve">Recommendations for </w:t>
      </w:r>
      <w:r w:rsidR="00C57273">
        <w:rPr>
          <w:rFonts w:ascii="Arial" w:hAnsi="Arial" w:cs="Arial"/>
          <w:b/>
          <w:sz w:val="24"/>
        </w:rPr>
        <w:t xml:space="preserve">Fall </w:t>
      </w:r>
      <w:r w:rsidR="00582313">
        <w:rPr>
          <w:rFonts w:ascii="Arial" w:hAnsi="Arial" w:cs="Arial"/>
          <w:b/>
          <w:sz w:val="24"/>
        </w:rPr>
        <w:t xml:space="preserve">2023-24 </w:t>
      </w:r>
      <w:r>
        <w:rPr>
          <w:rFonts w:ascii="Arial" w:hAnsi="Arial" w:cs="Arial"/>
          <w:b/>
          <w:sz w:val="24"/>
        </w:rPr>
        <w:t>COVID-19 Vaccines</w:t>
      </w:r>
    </w:p>
    <w:p w14:paraId="777DB046" w14:textId="77777777" w:rsidR="00573EF9" w:rsidRDefault="00573EF9" w:rsidP="00573EF9">
      <w:pPr>
        <w:pStyle w:val="Default"/>
      </w:pPr>
      <w:r>
        <w:rPr>
          <w:b/>
        </w:rPr>
        <w:t xml:space="preserve"> </w:t>
      </w:r>
    </w:p>
    <w:tbl>
      <w:tblPr>
        <w:tblStyle w:val="GridTable6Colorful-Accent6"/>
        <w:tblW w:w="0" w:type="auto"/>
        <w:tblLook w:val="04A0" w:firstRow="1" w:lastRow="0" w:firstColumn="1" w:lastColumn="0" w:noHBand="0" w:noVBand="1"/>
      </w:tblPr>
      <w:tblGrid>
        <w:gridCol w:w="3140"/>
        <w:gridCol w:w="3141"/>
        <w:gridCol w:w="3069"/>
      </w:tblGrid>
      <w:tr w:rsidR="00C202AC" w14:paraId="7A0680B3" w14:textId="77777777" w:rsidTr="00392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2BE05655" w14:textId="77777777" w:rsidR="00C202AC" w:rsidRPr="00C202AC" w:rsidRDefault="00C202AC" w:rsidP="00392864">
            <w:pPr>
              <w:jc w:val="center"/>
              <w:rPr>
                <w:rFonts w:ascii="Arial" w:hAnsi="Arial" w:cs="Arial"/>
                <w:bCs w:val="0"/>
                <w:color w:val="auto"/>
                <w:sz w:val="24"/>
              </w:rPr>
            </w:pPr>
            <w:r w:rsidRPr="00C202AC">
              <w:rPr>
                <w:rFonts w:ascii="Arial" w:hAnsi="Arial" w:cs="Arial"/>
                <w:bCs w:val="0"/>
                <w:color w:val="auto"/>
                <w:sz w:val="24"/>
              </w:rPr>
              <w:t>Individuals above the age of 6 months who have never been vaccinated.</w:t>
            </w:r>
          </w:p>
        </w:tc>
        <w:tc>
          <w:tcPr>
            <w:tcW w:w="4317" w:type="dxa"/>
          </w:tcPr>
          <w:p w14:paraId="585CB9BE" w14:textId="77777777" w:rsidR="00C202AC" w:rsidRPr="00C202AC" w:rsidRDefault="00C202AC" w:rsidP="003928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4"/>
              </w:rPr>
            </w:pPr>
            <w:r w:rsidRPr="00C202AC">
              <w:rPr>
                <w:rFonts w:ascii="Arial" w:hAnsi="Arial" w:cs="Arial"/>
                <w:bCs w:val="0"/>
                <w:color w:val="auto"/>
                <w:sz w:val="24"/>
              </w:rPr>
              <w:t>Individuals above the age of 6 months who started “primary series” but have not finished.</w:t>
            </w:r>
          </w:p>
        </w:tc>
        <w:tc>
          <w:tcPr>
            <w:tcW w:w="4317" w:type="dxa"/>
          </w:tcPr>
          <w:p w14:paraId="784E9712" w14:textId="77777777" w:rsidR="00C202AC" w:rsidRPr="00C202AC" w:rsidRDefault="00C202AC" w:rsidP="00C202A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4"/>
              </w:rPr>
            </w:pPr>
            <w:r w:rsidRPr="00C202AC">
              <w:rPr>
                <w:rFonts w:ascii="Arial" w:hAnsi="Arial" w:cs="Arial"/>
                <w:bCs w:val="0"/>
                <w:color w:val="auto"/>
                <w:sz w:val="24"/>
              </w:rPr>
              <w:t>Individuals above the age of 6 months who have completed “primary series”.</w:t>
            </w:r>
          </w:p>
        </w:tc>
      </w:tr>
      <w:tr w:rsidR="00C202AC" w14:paraId="6E0AEA6E" w14:textId="77777777" w:rsidTr="00392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6845A45" w14:textId="77777777" w:rsidR="00C202AC" w:rsidRPr="00C202AC" w:rsidRDefault="00C202AC" w:rsidP="00C202AC">
            <w:pPr>
              <w:pStyle w:val="ListParagraph"/>
              <w:widowControl/>
              <w:numPr>
                <w:ilvl w:val="0"/>
                <w:numId w:val="14"/>
              </w:numPr>
              <w:autoSpaceDE/>
              <w:autoSpaceDN/>
              <w:contextualSpacing/>
              <w:rPr>
                <w:rFonts w:ascii="Arial" w:hAnsi="Arial" w:cs="Arial"/>
                <w:b w:val="0"/>
                <w:bCs w:val="0"/>
                <w:color w:val="auto"/>
                <w:sz w:val="24"/>
              </w:rPr>
            </w:pPr>
            <w:r w:rsidRPr="00C202AC">
              <w:rPr>
                <w:rFonts w:ascii="Arial" w:hAnsi="Arial" w:cs="Arial"/>
                <w:b w:val="0"/>
                <w:bCs w:val="0"/>
                <w:color w:val="auto"/>
                <w:sz w:val="24"/>
              </w:rPr>
              <w:t xml:space="preserve">Receive two doses of XBB.1.5 at 8 weeks apart. </w:t>
            </w:r>
            <w:r w:rsidRPr="00C202AC">
              <w:rPr>
                <w:rFonts w:ascii="Arial" w:hAnsi="Arial" w:cs="Arial"/>
                <w:b w:val="0"/>
                <w:bCs w:val="0"/>
                <w:color w:val="auto"/>
                <w:sz w:val="24"/>
              </w:rPr>
              <w:br/>
            </w:r>
          </w:p>
          <w:p w14:paraId="7E880405" w14:textId="77777777" w:rsidR="00C202AC" w:rsidRPr="00C202AC" w:rsidRDefault="00C202AC" w:rsidP="00C202AC">
            <w:pPr>
              <w:pStyle w:val="ListParagraph"/>
              <w:widowControl/>
              <w:numPr>
                <w:ilvl w:val="0"/>
                <w:numId w:val="14"/>
              </w:numPr>
              <w:autoSpaceDE/>
              <w:autoSpaceDN/>
              <w:contextualSpacing/>
              <w:rPr>
                <w:rFonts w:ascii="Arial" w:hAnsi="Arial" w:cs="Arial"/>
                <w:b w:val="0"/>
                <w:bCs w:val="0"/>
                <w:color w:val="auto"/>
                <w:sz w:val="24"/>
              </w:rPr>
            </w:pPr>
            <w:r w:rsidRPr="00C202AC">
              <w:rPr>
                <w:rFonts w:ascii="Arial" w:hAnsi="Arial" w:cs="Arial"/>
                <w:b w:val="0"/>
                <w:bCs w:val="0"/>
                <w:color w:val="auto"/>
                <w:sz w:val="24"/>
              </w:rPr>
              <w:t>*This will be considered “fall dose”; individual will not get another dose 6 months later.</w:t>
            </w:r>
          </w:p>
        </w:tc>
        <w:tc>
          <w:tcPr>
            <w:tcW w:w="4317" w:type="dxa"/>
          </w:tcPr>
          <w:p w14:paraId="430F36CB" w14:textId="77777777" w:rsidR="00C202AC" w:rsidRPr="00C202AC" w:rsidRDefault="00C202AC" w:rsidP="00C202AC">
            <w:pPr>
              <w:pStyle w:val="ListParagraph"/>
              <w:widowControl/>
              <w:numPr>
                <w:ilvl w:val="0"/>
                <w:numId w:val="14"/>
              </w:numPr>
              <w:autoSpaceDE/>
              <w:autoSpaceDN/>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C202AC">
              <w:rPr>
                <w:rFonts w:ascii="Arial" w:hAnsi="Arial" w:cs="Arial"/>
                <w:color w:val="auto"/>
                <w:sz w:val="24"/>
              </w:rPr>
              <w:t xml:space="preserve">Receive one dose of XBB.1.5 at 8 weeks since their last dose of COVID-19 vaccine. </w:t>
            </w:r>
            <w:r w:rsidRPr="00C202AC">
              <w:rPr>
                <w:rFonts w:ascii="Arial" w:hAnsi="Arial" w:cs="Arial"/>
                <w:color w:val="auto"/>
                <w:sz w:val="24"/>
              </w:rPr>
              <w:br/>
            </w:r>
          </w:p>
          <w:p w14:paraId="39B5D0B4" w14:textId="77777777" w:rsidR="00C202AC" w:rsidRPr="00C202AC" w:rsidRDefault="00C202AC" w:rsidP="00C202AC">
            <w:pPr>
              <w:pStyle w:val="ListParagraph"/>
              <w:widowControl/>
              <w:numPr>
                <w:ilvl w:val="0"/>
                <w:numId w:val="14"/>
              </w:numPr>
              <w:autoSpaceDE/>
              <w:autoSpaceDN/>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C202AC">
              <w:rPr>
                <w:rFonts w:ascii="Arial" w:hAnsi="Arial" w:cs="Arial"/>
                <w:color w:val="auto"/>
                <w:sz w:val="24"/>
              </w:rPr>
              <w:t>*This will be considered “fall dose”; individual will not get another dose 6 months later.</w:t>
            </w:r>
          </w:p>
        </w:tc>
        <w:tc>
          <w:tcPr>
            <w:tcW w:w="4317" w:type="dxa"/>
          </w:tcPr>
          <w:p w14:paraId="0F1463C2" w14:textId="77777777" w:rsidR="00C202AC" w:rsidRPr="00C202AC" w:rsidRDefault="00C202AC" w:rsidP="00C202AC">
            <w:pPr>
              <w:pStyle w:val="ListParagraph"/>
              <w:widowControl/>
              <w:numPr>
                <w:ilvl w:val="0"/>
                <w:numId w:val="14"/>
              </w:numPr>
              <w:autoSpaceDE/>
              <w:autoSpaceDN/>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C202AC">
              <w:rPr>
                <w:rFonts w:ascii="Arial" w:hAnsi="Arial" w:cs="Arial"/>
                <w:color w:val="auto"/>
                <w:sz w:val="24"/>
              </w:rPr>
              <w:t xml:space="preserve">Receive one dose of XBB.1.5 at 6 months since last dose of COVID-19 vaccine or since COVID-19 infection. </w:t>
            </w:r>
            <w:r w:rsidRPr="00C202AC">
              <w:rPr>
                <w:rFonts w:ascii="Arial" w:hAnsi="Arial" w:cs="Arial"/>
                <w:color w:val="auto"/>
                <w:sz w:val="24"/>
              </w:rPr>
              <w:br/>
            </w:r>
          </w:p>
          <w:p w14:paraId="1C43BF34" w14:textId="77777777" w:rsidR="00C202AC" w:rsidRPr="00C202AC" w:rsidRDefault="00C202AC" w:rsidP="00C202AC">
            <w:pPr>
              <w:pStyle w:val="ListParagraph"/>
              <w:widowControl/>
              <w:numPr>
                <w:ilvl w:val="0"/>
                <w:numId w:val="14"/>
              </w:numPr>
              <w:autoSpaceDE/>
              <w:autoSpaceDN/>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C202AC">
              <w:rPr>
                <w:rFonts w:ascii="Arial" w:hAnsi="Arial" w:cs="Arial"/>
                <w:color w:val="auto"/>
                <w:sz w:val="24"/>
              </w:rPr>
              <w:t xml:space="preserve">*Can be done anywhere between 3-6 months since last dose or infection, based on informed consent. </w:t>
            </w:r>
          </w:p>
        </w:tc>
      </w:tr>
    </w:tbl>
    <w:p w14:paraId="33D0752C" w14:textId="77777777" w:rsidR="00573EF9" w:rsidRPr="00573EF9" w:rsidRDefault="00573EF9" w:rsidP="00573EF9">
      <w:pPr>
        <w:rPr>
          <w:rFonts w:ascii="Arial" w:hAnsi="Arial" w:cs="Arial"/>
          <w:sz w:val="24"/>
        </w:rPr>
      </w:pPr>
    </w:p>
    <w:p w14:paraId="5F2BF286" w14:textId="77777777" w:rsidR="00A66452" w:rsidRPr="009869A2" w:rsidRDefault="0091740C" w:rsidP="0091740C">
      <w:pPr>
        <w:spacing w:before="90"/>
        <w:rPr>
          <w:rFonts w:ascii="Arial" w:hAnsi="Arial" w:cs="Arial"/>
          <w:b/>
          <w:sz w:val="24"/>
        </w:rPr>
      </w:pPr>
      <w:r w:rsidRPr="009869A2">
        <w:rPr>
          <w:rFonts w:ascii="Arial" w:hAnsi="Arial" w:cs="Arial"/>
          <w:b/>
          <w:sz w:val="24"/>
        </w:rPr>
        <w:t>Contraindications and Precautions</w:t>
      </w:r>
    </w:p>
    <w:p w14:paraId="3403DAD8" w14:textId="77777777" w:rsidR="00A66452" w:rsidRPr="009869A2" w:rsidRDefault="00A66452" w:rsidP="0091740C">
      <w:pPr>
        <w:rPr>
          <w:rFonts w:ascii="Arial" w:hAnsi="Arial" w:cs="Arial"/>
          <w:sz w:val="24"/>
        </w:rPr>
      </w:pPr>
      <w:r w:rsidRPr="009869A2">
        <w:rPr>
          <w:rFonts w:ascii="Arial" w:hAnsi="Arial" w:cs="Arial"/>
          <w:sz w:val="24"/>
        </w:rPr>
        <w:t>Contraindications and precautions related to specific vaccines are described in the Newfoundland and Labrador Immunization Manual, the Canadian Immunization Guide, the Compendium of Pharmaceuticals and Specialties (CPS) or package inserts and may also be communicated by specific notices from the Medical Officer of Health.</w:t>
      </w:r>
    </w:p>
    <w:p w14:paraId="12EF53FB" w14:textId="77777777" w:rsidR="00A66452" w:rsidRDefault="00A66452" w:rsidP="00A66452">
      <w:pPr>
        <w:spacing w:before="4"/>
        <w:rPr>
          <w:rFonts w:ascii="Arial" w:hAnsi="Arial" w:cs="Arial"/>
          <w:sz w:val="24"/>
        </w:rPr>
      </w:pPr>
    </w:p>
    <w:p w14:paraId="027590EA" w14:textId="77777777" w:rsidR="00C57273" w:rsidRDefault="00C57273" w:rsidP="00A66452">
      <w:pPr>
        <w:spacing w:before="4"/>
        <w:rPr>
          <w:rFonts w:ascii="Arial" w:hAnsi="Arial" w:cs="Arial"/>
          <w:sz w:val="24"/>
        </w:rPr>
      </w:pPr>
    </w:p>
    <w:p w14:paraId="7345147B" w14:textId="77777777" w:rsidR="00C202AC" w:rsidRDefault="00C202AC" w:rsidP="00A66452">
      <w:pPr>
        <w:spacing w:before="4"/>
        <w:rPr>
          <w:rFonts w:ascii="Arial" w:hAnsi="Arial" w:cs="Arial"/>
          <w:sz w:val="24"/>
        </w:rPr>
      </w:pPr>
    </w:p>
    <w:p w14:paraId="3C2FAAB9" w14:textId="77777777" w:rsidR="00C57273" w:rsidRPr="009869A2" w:rsidRDefault="00C57273" w:rsidP="00A66452">
      <w:pPr>
        <w:spacing w:before="4"/>
        <w:rPr>
          <w:rFonts w:ascii="Arial" w:hAnsi="Arial" w:cs="Arial"/>
          <w:sz w:val="24"/>
        </w:rPr>
      </w:pPr>
    </w:p>
    <w:p w14:paraId="0BB54551" w14:textId="77777777" w:rsidR="00A66452" w:rsidRPr="009869A2" w:rsidRDefault="0091740C" w:rsidP="0091740C">
      <w:pPr>
        <w:spacing w:before="1"/>
        <w:rPr>
          <w:rFonts w:ascii="Arial" w:hAnsi="Arial" w:cs="Arial"/>
          <w:b/>
          <w:sz w:val="24"/>
        </w:rPr>
      </w:pPr>
      <w:r w:rsidRPr="009869A2">
        <w:rPr>
          <w:rFonts w:ascii="Arial" w:hAnsi="Arial" w:cs="Arial"/>
          <w:b/>
          <w:sz w:val="24"/>
        </w:rPr>
        <w:lastRenderedPageBreak/>
        <w:t>Immunization Procedure</w:t>
      </w:r>
    </w:p>
    <w:p w14:paraId="4430DA31" w14:textId="77777777" w:rsidR="00A66452" w:rsidRPr="009869A2" w:rsidRDefault="00A66452" w:rsidP="0091740C">
      <w:pPr>
        <w:ind w:right="3627"/>
        <w:rPr>
          <w:rFonts w:ascii="Arial" w:hAnsi="Arial" w:cs="Arial"/>
          <w:color w:val="0563C1"/>
          <w:sz w:val="24"/>
          <w:u w:val="single" w:color="0563C1"/>
        </w:rPr>
      </w:pPr>
      <w:r w:rsidRPr="009869A2">
        <w:rPr>
          <w:rFonts w:ascii="Arial" w:hAnsi="Arial" w:cs="Arial"/>
          <w:sz w:val="24"/>
        </w:rPr>
        <w:t xml:space="preserve">As outlined in the Provincial Immunization Manual </w:t>
      </w:r>
      <w:hyperlink r:id="rId12" w:history="1">
        <w:r w:rsidR="00C57273" w:rsidRPr="00270D32">
          <w:rPr>
            <w:rStyle w:val="Hyperlink"/>
            <w:rFonts w:ascii="Arial" w:hAnsi="Arial" w:cs="Arial"/>
            <w:sz w:val="24"/>
            <w:u w:color="0563C1"/>
          </w:rPr>
          <w:t>https://www.gov.nl.ca/hcs/files/publichealth-cdc-im-section4.pdf</w:t>
        </w:r>
      </w:hyperlink>
    </w:p>
    <w:p w14:paraId="212F5242" w14:textId="77777777" w:rsidR="00E44C9A" w:rsidRPr="009869A2" w:rsidRDefault="00E44C9A" w:rsidP="00A66452">
      <w:pPr>
        <w:ind w:left="1320" w:right="3627"/>
        <w:rPr>
          <w:rFonts w:ascii="Arial" w:hAnsi="Arial" w:cs="Arial"/>
          <w:color w:val="0563C1"/>
          <w:sz w:val="24"/>
          <w:u w:val="single" w:color="0563C1"/>
        </w:rPr>
      </w:pPr>
    </w:p>
    <w:p w14:paraId="2F737A41" w14:textId="77777777" w:rsidR="00E44C9A" w:rsidRPr="009869A2" w:rsidRDefault="00E44C9A" w:rsidP="0091740C">
      <w:pPr>
        <w:rPr>
          <w:rFonts w:ascii="Arial" w:hAnsi="Arial" w:cs="Arial"/>
          <w:color w:val="0563C1"/>
          <w:sz w:val="24"/>
          <w:u w:val="single" w:color="0563C1"/>
        </w:rPr>
      </w:pPr>
      <w:r w:rsidRPr="009869A2">
        <w:rPr>
          <w:rFonts w:ascii="Arial" w:hAnsi="Arial" w:cs="Arial"/>
          <w:b/>
          <w:sz w:val="24"/>
        </w:rPr>
        <w:t>*</w:t>
      </w:r>
      <w:r w:rsidRPr="009869A2">
        <w:rPr>
          <w:rFonts w:ascii="Arial" w:hAnsi="Arial" w:cs="Arial"/>
          <w:sz w:val="24"/>
        </w:rPr>
        <w:t xml:space="preserve">Note that low dead space syringes are recommended to be used for mRNA COVID-19 vaccines. </w:t>
      </w:r>
    </w:p>
    <w:p w14:paraId="7C25E601" w14:textId="77777777" w:rsidR="00A66452" w:rsidRPr="009869A2" w:rsidRDefault="00A66452" w:rsidP="00A66452">
      <w:pPr>
        <w:spacing w:before="7"/>
        <w:rPr>
          <w:rFonts w:ascii="Arial" w:hAnsi="Arial" w:cs="Arial"/>
          <w:sz w:val="16"/>
        </w:rPr>
      </w:pPr>
    </w:p>
    <w:p w14:paraId="54F59EC3" w14:textId="77777777" w:rsidR="00A66452" w:rsidRPr="009869A2" w:rsidRDefault="0091740C" w:rsidP="0091740C">
      <w:pPr>
        <w:spacing w:before="90" w:line="274" w:lineRule="exact"/>
        <w:rPr>
          <w:rFonts w:ascii="Arial" w:hAnsi="Arial" w:cs="Arial"/>
          <w:b/>
          <w:sz w:val="24"/>
        </w:rPr>
      </w:pPr>
      <w:r w:rsidRPr="009869A2">
        <w:rPr>
          <w:rFonts w:ascii="Arial" w:hAnsi="Arial" w:cs="Arial"/>
          <w:b/>
          <w:sz w:val="24"/>
        </w:rPr>
        <w:t>Consent</w:t>
      </w:r>
    </w:p>
    <w:p w14:paraId="6DD875FB" w14:textId="77777777" w:rsidR="00A66452" w:rsidRPr="009869A2" w:rsidRDefault="00A66452" w:rsidP="0091740C">
      <w:pPr>
        <w:spacing w:line="273" w:lineRule="exact"/>
        <w:rPr>
          <w:rFonts w:ascii="Arial" w:hAnsi="Arial" w:cs="Arial"/>
          <w:sz w:val="24"/>
        </w:rPr>
      </w:pPr>
      <w:r w:rsidRPr="009869A2">
        <w:rPr>
          <w:rFonts w:ascii="Arial" w:hAnsi="Arial" w:cs="Arial"/>
          <w:sz w:val="24"/>
        </w:rPr>
        <w:t>After positively identifying the client to be immunized, the immunizing professional will:</w:t>
      </w:r>
    </w:p>
    <w:p w14:paraId="2433018A" w14:textId="184984C0" w:rsidR="00F54EF8" w:rsidRPr="009869A2" w:rsidRDefault="00A66452" w:rsidP="0091740C">
      <w:pPr>
        <w:pStyle w:val="ListParagraph"/>
        <w:numPr>
          <w:ilvl w:val="1"/>
          <w:numId w:val="3"/>
        </w:numPr>
        <w:tabs>
          <w:tab w:val="left" w:pos="1710"/>
        </w:tabs>
        <w:ind w:left="720" w:right="835"/>
        <w:rPr>
          <w:rFonts w:ascii="Arial" w:hAnsi="Arial" w:cs="Arial"/>
          <w:sz w:val="24"/>
        </w:rPr>
      </w:pPr>
      <w:r w:rsidRPr="009869A2">
        <w:rPr>
          <w:rFonts w:ascii="Arial" w:hAnsi="Arial" w:cs="Arial"/>
          <w:sz w:val="24"/>
        </w:rPr>
        <w:t>Inform the client, parent or substitute decision maker of the vaccine</w:t>
      </w:r>
      <w:r w:rsidRPr="009869A2">
        <w:rPr>
          <w:rFonts w:ascii="Arial" w:hAnsi="Arial" w:cs="Arial"/>
          <w:spacing w:val="-18"/>
          <w:sz w:val="24"/>
        </w:rPr>
        <w:t xml:space="preserve"> </w:t>
      </w:r>
      <w:r w:rsidRPr="009869A2">
        <w:rPr>
          <w:rFonts w:ascii="Arial" w:hAnsi="Arial" w:cs="Arial"/>
          <w:sz w:val="24"/>
        </w:rPr>
        <w:t xml:space="preserve">recommendations, </w:t>
      </w:r>
      <w:r w:rsidR="006446E7" w:rsidRPr="009869A2">
        <w:rPr>
          <w:rFonts w:ascii="Arial" w:hAnsi="Arial" w:cs="Arial"/>
          <w:sz w:val="24"/>
        </w:rPr>
        <w:t>benefits,</w:t>
      </w:r>
      <w:r w:rsidRPr="009869A2">
        <w:rPr>
          <w:rFonts w:ascii="Arial" w:hAnsi="Arial" w:cs="Arial"/>
          <w:sz w:val="24"/>
        </w:rPr>
        <w:t xml:space="preserve"> and</w:t>
      </w:r>
      <w:r w:rsidRPr="009869A2">
        <w:rPr>
          <w:rFonts w:ascii="Arial" w:hAnsi="Arial" w:cs="Arial"/>
          <w:spacing w:val="-1"/>
          <w:sz w:val="24"/>
        </w:rPr>
        <w:t xml:space="preserve"> </w:t>
      </w:r>
      <w:r w:rsidRPr="009869A2">
        <w:rPr>
          <w:rFonts w:ascii="Arial" w:hAnsi="Arial" w:cs="Arial"/>
          <w:sz w:val="24"/>
        </w:rPr>
        <w:t>risks.</w:t>
      </w:r>
    </w:p>
    <w:p w14:paraId="53CEDF93" w14:textId="77777777" w:rsidR="00A66452" w:rsidRPr="009869A2" w:rsidRDefault="00A66452" w:rsidP="0091740C">
      <w:pPr>
        <w:pStyle w:val="ListParagraph"/>
        <w:numPr>
          <w:ilvl w:val="1"/>
          <w:numId w:val="3"/>
        </w:numPr>
        <w:tabs>
          <w:tab w:val="left" w:pos="1080"/>
          <w:tab w:val="left" w:pos="1710"/>
        </w:tabs>
        <w:ind w:left="720" w:right="835"/>
        <w:rPr>
          <w:rFonts w:ascii="Arial" w:hAnsi="Arial" w:cs="Arial"/>
          <w:sz w:val="24"/>
        </w:rPr>
      </w:pPr>
      <w:r w:rsidRPr="009869A2">
        <w:rPr>
          <w:rFonts w:ascii="Arial" w:hAnsi="Arial" w:cs="Arial"/>
          <w:sz w:val="24"/>
        </w:rPr>
        <w:t xml:space="preserve">Obtain informed consent from the client and ensure the </w:t>
      </w:r>
      <w:r w:rsidR="006E6A04" w:rsidRPr="009869A2">
        <w:rPr>
          <w:rFonts w:ascii="Arial" w:hAnsi="Arial" w:cs="Arial"/>
          <w:sz w:val="24"/>
        </w:rPr>
        <w:t xml:space="preserve">appropriate </w:t>
      </w:r>
      <w:r w:rsidRPr="009869A2">
        <w:rPr>
          <w:rFonts w:ascii="Arial" w:hAnsi="Arial" w:cs="Arial"/>
          <w:sz w:val="24"/>
        </w:rPr>
        <w:t>consent form provided for</w:t>
      </w:r>
      <w:r w:rsidRPr="009869A2">
        <w:rPr>
          <w:rFonts w:ascii="Arial" w:hAnsi="Arial" w:cs="Arial"/>
          <w:spacing w:val="-15"/>
          <w:sz w:val="24"/>
        </w:rPr>
        <w:t xml:space="preserve"> </w:t>
      </w:r>
      <w:r w:rsidR="006E6A04" w:rsidRPr="009869A2">
        <w:rPr>
          <w:rFonts w:ascii="Arial" w:hAnsi="Arial" w:cs="Arial"/>
          <w:sz w:val="24"/>
        </w:rPr>
        <w:t>influenza and/or COVID-</w:t>
      </w:r>
      <w:r w:rsidR="008C252E" w:rsidRPr="009869A2">
        <w:rPr>
          <w:rFonts w:ascii="Arial" w:hAnsi="Arial" w:cs="Arial"/>
          <w:sz w:val="24"/>
        </w:rPr>
        <w:t>19 vaccine</w:t>
      </w:r>
      <w:r w:rsidRPr="009869A2">
        <w:rPr>
          <w:rFonts w:ascii="Arial" w:hAnsi="Arial" w:cs="Arial"/>
          <w:sz w:val="24"/>
        </w:rPr>
        <w:t xml:space="preserve"> is</w:t>
      </w:r>
      <w:r w:rsidRPr="009869A2">
        <w:rPr>
          <w:rFonts w:ascii="Arial" w:hAnsi="Arial" w:cs="Arial"/>
          <w:spacing w:val="-2"/>
          <w:sz w:val="24"/>
        </w:rPr>
        <w:t xml:space="preserve"> </w:t>
      </w:r>
      <w:r w:rsidRPr="009869A2">
        <w:rPr>
          <w:rFonts w:ascii="Arial" w:hAnsi="Arial" w:cs="Arial"/>
          <w:sz w:val="24"/>
        </w:rPr>
        <w:t>completed.</w:t>
      </w:r>
    </w:p>
    <w:p w14:paraId="4263FF71" w14:textId="77777777" w:rsidR="00E44C9A" w:rsidRPr="009869A2" w:rsidRDefault="00E44C9A" w:rsidP="00A66452">
      <w:pPr>
        <w:spacing w:before="3"/>
        <w:rPr>
          <w:rFonts w:ascii="Arial" w:hAnsi="Arial" w:cs="Arial"/>
          <w:b/>
          <w:sz w:val="24"/>
          <w:u w:val="thick"/>
        </w:rPr>
      </w:pPr>
    </w:p>
    <w:p w14:paraId="114B6141" w14:textId="77777777" w:rsidR="00A66452" w:rsidRPr="009869A2" w:rsidRDefault="0091740C" w:rsidP="008C252E">
      <w:pPr>
        <w:spacing w:before="1" w:line="274" w:lineRule="exact"/>
        <w:rPr>
          <w:rFonts w:ascii="Arial" w:hAnsi="Arial" w:cs="Arial"/>
          <w:b/>
          <w:sz w:val="24"/>
        </w:rPr>
      </w:pPr>
      <w:r w:rsidRPr="009869A2">
        <w:rPr>
          <w:rFonts w:ascii="Arial" w:hAnsi="Arial" w:cs="Arial"/>
          <w:b/>
          <w:sz w:val="24"/>
        </w:rPr>
        <w:t>Adverse Reactions</w:t>
      </w:r>
    </w:p>
    <w:p w14:paraId="13DEADDE" w14:textId="77777777" w:rsidR="00A66452" w:rsidRPr="009869A2" w:rsidRDefault="00A66452" w:rsidP="008C252E">
      <w:pPr>
        <w:spacing w:line="273" w:lineRule="exact"/>
        <w:rPr>
          <w:rFonts w:ascii="Arial" w:hAnsi="Arial" w:cs="Arial"/>
          <w:sz w:val="24"/>
        </w:rPr>
      </w:pPr>
      <w:r w:rsidRPr="009869A2">
        <w:rPr>
          <w:rFonts w:ascii="Arial" w:hAnsi="Arial" w:cs="Arial"/>
          <w:sz w:val="24"/>
        </w:rPr>
        <w:t>The immunizing professional will:</w:t>
      </w:r>
    </w:p>
    <w:p w14:paraId="60C0DA6A" w14:textId="77777777" w:rsidR="00A66452" w:rsidRPr="009869A2" w:rsidRDefault="00A66452" w:rsidP="008C252E">
      <w:pPr>
        <w:pStyle w:val="ListParagraph"/>
        <w:numPr>
          <w:ilvl w:val="0"/>
          <w:numId w:val="4"/>
        </w:numPr>
        <w:tabs>
          <w:tab w:val="left" w:pos="2039"/>
          <w:tab w:val="left" w:pos="2040"/>
        </w:tabs>
        <w:ind w:right="531"/>
        <w:rPr>
          <w:rFonts w:ascii="Arial" w:hAnsi="Arial" w:cs="Arial"/>
          <w:sz w:val="24"/>
        </w:rPr>
      </w:pPr>
      <w:r w:rsidRPr="009869A2">
        <w:rPr>
          <w:rFonts w:ascii="Arial" w:hAnsi="Arial" w:cs="Arial"/>
          <w:sz w:val="24"/>
        </w:rPr>
        <w:t>Ensure that the vaccine recipient is observed for signs of acute allergic reaction for the post immunization waiting period.</w:t>
      </w:r>
    </w:p>
    <w:p w14:paraId="6187FA42" w14:textId="77777777" w:rsidR="00A66452" w:rsidRPr="009869A2" w:rsidRDefault="00A66452" w:rsidP="0091740C">
      <w:pPr>
        <w:pStyle w:val="ListParagraph"/>
        <w:numPr>
          <w:ilvl w:val="0"/>
          <w:numId w:val="4"/>
        </w:numPr>
        <w:tabs>
          <w:tab w:val="left" w:pos="2039"/>
          <w:tab w:val="left" w:pos="2040"/>
        </w:tabs>
        <w:spacing w:before="1"/>
        <w:rPr>
          <w:rFonts w:ascii="Arial" w:hAnsi="Arial" w:cs="Arial"/>
          <w:sz w:val="24"/>
        </w:rPr>
      </w:pPr>
      <w:r w:rsidRPr="009869A2">
        <w:rPr>
          <w:rFonts w:ascii="Arial" w:hAnsi="Arial" w:cs="Arial"/>
          <w:sz w:val="24"/>
        </w:rPr>
        <w:t>If anaphylaxis develops, refer to the latest policy and poster outlining the management</w:t>
      </w:r>
      <w:r w:rsidRPr="009869A2">
        <w:rPr>
          <w:rFonts w:ascii="Arial" w:hAnsi="Arial" w:cs="Arial"/>
          <w:spacing w:val="-21"/>
          <w:sz w:val="24"/>
        </w:rPr>
        <w:t xml:space="preserve"> </w:t>
      </w:r>
      <w:r w:rsidRPr="009869A2">
        <w:rPr>
          <w:rFonts w:ascii="Arial" w:hAnsi="Arial" w:cs="Arial"/>
          <w:sz w:val="24"/>
        </w:rPr>
        <w:t>of anaphylaxis in a non-hospital setting found in the Newfoundland and Labrador Immunization Manual (Section 1.8 and Appendix G)</w:t>
      </w:r>
      <w:hyperlink r:id="rId13">
        <w:r w:rsidRPr="009869A2">
          <w:rPr>
            <w:rFonts w:ascii="Arial" w:hAnsi="Arial" w:cs="Arial"/>
            <w:color w:val="0563C1"/>
            <w:sz w:val="24"/>
            <w:u w:val="single" w:color="0563C1"/>
          </w:rPr>
          <w:t xml:space="preserve"> https://www.gov.nl.ca/hcs/files/publichealth-cdc-s1-routine-guidlns-schedules.pdf</w:t>
        </w:r>
      </w:hyperlink>
    </w:p>
    <w:p w14:paraId="3898A971" w14:textId="77777777" w:rsidR="00A66452" w:rsidRPr="009869A2" w:rsidRDefault="00A66452" w:rsidP="00A66452">
      <w:pPr>
        <w:spacing w:before="6"/>
        <w:rPr>
          <w:rFonts w:ascii="Arial" w:hAnsi="Arial" w:cs="Arial"/>
          <w:sz w:val="16"/>
        </w:rPr>
      </w:pPr>
    </w:p>
    <w:p w14:paraId="53A92A5E" w14:textId="77777777" w:rsidR="00A66452" w:rsidRPr="009869A2" w:rsidRDefault="0091740C" w:rsidP="008C252E">
      <w:pPr>
        <w:spacing w:before="90" w:line="274" w:lineRule="exact"/>
        <w:rPr>
          <w:rFonts w:ascii="Arial" w:hAnsi="Arial" w:cs="Arial"/>
          <w:b/>
          <w:sz w:val="24"/>
        </w:rPr>
      </w:pPr>
      <w:r w:rsidRPr="009869A2">
        <w:rPr>
          <w:rFonts w:ascii="Arial" w:hAnsi="Arial" w:cs="Arial"/>
          <w:b/>
          <w:sz w:val="24"/>
        </w:rPr>
        <w:t>Documentation/Communication</w:t>
      </w:r>
    </w:p>
    <w:p w14:paraId="1BCB3B95" w14:textId="77777777" w:rsidR="00A66452" w:rsidRPr="009869A2" w:rsidRDefault="00A66452" w:rsidP="008C252E">
      <w:pPr>
        <w:spacing w:line="273" w:lineRule="exact"/>
        <w:rPr>
          <w:rFonts w:ascii="Arial" w:hAnsi="Arial" w:cs="Arial"/>
          <w:sz w:val="24"/>
        </w:rPr>
      </w:pPr>
      <w:r w:rsidRPr="009869A2">
        <w:rPr>
          <w:rFonts w:ascii="Arial" w:hAnsi="Arial" w:cs="Arial"/>
          <w:sz w:val="24"/>
        </w:rPr>
        <w:t>The immunizing professional</w:t>
      </w:r>
      <w:r w:rsidRPr="009869A2">
        <w:rPr>
          <w:rFonts w:ascii="Arial" w:hAnsi="Arial" w:cs="Arial"/>
          <w:spacing w:val="-10"/>
          <w:sz w:val="24"/>
        </w:rPr>
        <w:t xml:space="preserve"> </w:t>
      </w:r>
      <w:r w:rsidRPr="009869A2">
        <w:rPr>
          <w:rFonts w:ascii="Arial" w:hAnsi="Arial" w:cs="Arial"/>
          <w:sz w:val="24"/>
        </w:rPr>
        <w:t>will:</w:t>
      </w:r>
    </w:p>
    <w:p w14:paraId="5EB97807" w14:textId="77777777" w:rsidR="00A66452" w:rsidRPr="009869A2" w:rsidRDefault="00A66452" w:rsidP="008C252E">
      <w:pPr>
        <w:pStyle w:val="ListParagraph"/>
        <w:numPr>
          <w:ilvl w:val="0"/>
          <w:numId w:val="5"/>
        </w:numPr>
        <w:tabs>
          <w:tab w:val="left" w:pos="2039"/>
          <w:tab w:val="left" w:pos="2040"/>
        </w:tabs>
        <w:ind w:right="604"/>
        <w:rPr>
          <w:rFonts w:ascii="Arial" w:hAnsi="Arial" w:cs="Arial"/>
          <w:sz w:val="24"/>
        </w:rPr>
      </w:pPr>
      <w:r w:rsidRPr="009869A2">
        <w:rPr>
          <w:rFonts w:ascii="Arial" w:hAnsi="Arial" w:cs="Arial"/>
          <w:sz w:val="24"/>
        </w:rPr>
        <w:t>Document administration of the vaccine on the immunization record</w:t>
      </w:r>
      <w:r w:rsidR="006B2FDA" w:rsidRPr="009869A2">
        <w:rPr>
          <w:rFonts w:ascii="Arial" w:hAnsi="Arial" w:cs="Arial"/>
          <w:sz w:val="24"/>
        </w:rPr>
        <w:t xml:space="preserve"> and follow guidelines on sending to NLCHI</w:t>
      </w:r>
      <w:r w:rsidR="00053A8D" w:rsidRPr="009869A2">
        <w:rPr>
          <w:rFonts w:ascii="Arial" w:hAnsi="Arial" w:cs="Arial"/>
          <w:sz w:val="24"/>
        </w:rPr>
        <w:t>.</w:t>
      </w:r>
    </w:p>
    <w:p w14:paraId="0C3E8787" w14:textId="77777777" w:rsidR="00A66452" w:rsidRPr="009869A2" w:rsidRDefault="00A66452" w:rsidP="008C252E">
      <w:pPr>
        <w:pStyle w:val="ListParagraph"/>
        <w:numPr>
          <w:ilvl w:val="0"/>
          <w:numId w:val="5"/>
        </w:numPr>
        <w:tabs>
          <w:tab w:val="left" w:pos="2039"/>
          <w:tab w:val="left" w:pos="2040"/>
        </w:tabs>
        <w:spacing w:line="292" w:lineRule="exact"/>
        <w:rPr>
          <w:rFonts w:ascii="Arial" w:hAnsi="Arial" w:cs="Arial"/>
          <w:sz w:val="24"/>
        </w:rPr>
      </w:pPr>
      <w:r w:rsidRPr="009869A2">
        <w:rPr>
          <w:rFonts w:ascii="Arial" w:hAnsi="Arial" w:cs="Arial"/>
          <w:sz w:val="24"/>
        </w:rPr>
        <w:t>Provide a record of immunization to the person</w:t>
      </w:r>
      <w:r w:rsidRPr="009869A2">
        <w:rPr>
          <w:rFonts w:ascii="Arial" w:hAnsi="Arial" w:cs="Arial"/>
          <w:spacing w:val="-5"/>
          <w:sz w:val="24"/>
        </w:rPr>
        <w:t xml:space="preserve"> </w:t>
      </w:r>
      <w:r w:rsidRPr="009869A2">
        <w:rPr>
          <w:rFonts w:ascii="Arial" w:hAnsi="Arial" w:cs="Arial"/>
          <w:sz w:val="24"/>
        </w:rPr>
        <w:t>immunized.</w:t>
      </w:r>
    </w:p>
    <w:p w14:paraId="55E1F77F" w14:textId="77777777" w:rsidR="00053A8D" w:rsidRPr="009869A2" w:rsidRDefault="00A66452" w:rsidP="005D2D3B">
      <w:pPr>
        <w:pStyle w:val="ListParagraph"/>
        <w:numPr>
          <w:ilvl w:val="0"/>
          <w:numId w:val="6"/>
        </w:numPr>
        <w:tabs>
          <w:tab w:val="left" w:pos="2039"/>
          <w:tab w:val="left" w:pos="2040"/>
        </w:tabs>
        <w:spacing w:before="1" w:line="237" w:lineRule="auto"/>
        <w:ind w:right="699"/>
        <w:rPr>
          <w:rFonts w:ascii="Arial" w:hAnsi="Arial" w:cs="Arial"/>
        </w:rPr>
      </w:pPr>
      <w:r w:rsidRPr="009869A2">
        <w:rPr>
          <w:rFonts w:ascii="Arial" w:hAnsi="Arial" w:cs="Arial"/>
          <w:sz w:val="24"/>
        </w:rPr>
        <w:t>Document any adverse reactions, complete the Adverse Event Following Immunization report form as soon as possible after the episode, and submit th</w:t>
      </w:r>
      <w:r w:rsidR="008C252E" w:rsidRPr="009869A2">
        <w:rPr>
          <w:rFonts w:ascii="Arial" w:hAnsi="Arial" w:cs="Arial"/>
          <w:sz w:val="24"/>
        </w:rPr>
        <w:t>e form to Communicable Disease C</w:t>
      </w:r>
      <w:r w:rsidRPr="009869A2">
        <w:rPr>
          <w:rFonts w:ascii="Arial" w:hAnsi="Arial" w:cs="Arial"/>
          <w:sz w:val="24"/>
        </w:rPr>
        <w:t>ontrol</w:t>
      </w:r>
      <w:r w:rsidR="008C252E" w:rsidRPr="009869A2">
        <w:rPr>
          <w:rFonts w:ascii="Arial" w:hAnsi="Arial" w:cs="Arial"/>
          <w:color w:val="0000FF"/>
          <w:sz w:val="24"/>
        </w:rPr>
        <w:t xml:space="preserve">. </w:t>
      </w:r>
      <w:hyperlink r:id="rId14">
        <w:r w:rsidRPr="009869A2">
          <w:rPr>
            <w:rFonts w:ascii="Arial" w:hAnsi="Arial" w:cs="Arial"/>
            <w:color w:val="0000FF"/>
            <w:sz w:val="24"/>
            <w:u w:val="single" w:color="0000FF"/>
          </w:rPr>
          <w:t>https://www.canada.ca/content/dam/phac-</w:t>
        </w:r>
      </w:hyperlink>
      <w:hyperlink r:id="rId15">
        <w:r w:rsidRPr="009869A2">
          <w:rPr>
            <w:rFonts w:ascii="Arial" w:hAnsi="Arial" w:cs="Arial"/>
            <w:color w:val="0000FF"/>
            <w:sz w:val="24"/>
            <w:u w:val="single" w:color="0000FF"/>
          </w:rPr>
          <w:t xml:space="preserve"> aspc/documents/services/immunization/aefi-form-july23-2020-eng.pdf</w:t>
        </w:r>
      </w:hyperlink>
    </w:p>
    <w:p w14:paraId="58E0987B" w14:textId="77777777" w:rsidR="005B01F1" w:rsidRPr="005B01F1" w:rsidRDefault="005B01F1">
      <w:pPr>
        <w:widowControl/>
        <w:autoSpaceDE/>
        <w:autoSpaceDN/>
        <w:spacing w:after="160" w:line="259" w:lineRule="auto"/>
        <w:rPr>
          <w:rFonts w:ascii="Arial Narrow" w:hAnsi="Arial Narrow" w:cs="Arial"/>
          <w:b/>
          <w:sz w:val="24"/>
        </w:rPr>
      </w:pPr>
    </w:p>
    <w:p w14:paraId="3B467C41" w14:textId="77777777" w:rsidR="00A66452" w:rsidRPr="0091740C" w:rsidRDefault="0091740C" w:rsidP="00A66452">
      <w:pPr>
        <w:spacing w:before="233"/>
        <w:rPr>
          <w:rFonts w:ascii="Arial" w:hAnsi="Arial" w:cs="Arial"/>
          <w:b/>
          <w:sz w:val="24"/>
        </w:rPr>
      </w:pPr>
      <w:r w:rsidRPr="0091740C">
        <w:rPr>
          <w:rFonts w:ascii="Arial" w:hAnsi="Arial" w:cs="Arial"/>
          <w:b/>
          <w:sz w:val="24"/>
        </w:rPr>
        <w:t>Definitions &amp; Acronyms</w:t>
      </w:r>
    </w:p>
    <w:tbl>
      <w:tblPr>
        <w:tblpPr w:leftFromText="180" w:rightFromText="180" w:vertAnchor="text" w:horzAnchor="margin"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6151"/>
      </w:tblGrid>
      <w:tr w:rsidR="00A66452" w:rsidRPr="008C252E" w14:paraId="46527364" w14:textId="77777777" w:rsidTr="00A66452">
        <w:trPr>
          <w:trHeight w:val="2157"/>
        </w:trPr>
        <w:tc>
          <w:tcPr>
            <w:tcW w:w="3199" w:type="dxa"/>
          </w:tcPr>
          <w:p w14:paraId="1A198DBA" w14:textId="77777777" w:rsidR="00A66452" w:rsidRPr="008C252E" w:rsidRDefault="00A66452" w:rsidP="00A66452">
            <w:pPr>
              <w:pStyle w:val="TableParagraph"/>
              <w:spacing w:line="275" w:lineRule="exact"/>
              <w:rPr>
                <w:rFonts w:ascii="Arial" w:hAnsi="Arial" w:cs="Arial"/>
                <w:b/>
                <w:sz w:val="24"/>
              </w:rPr>
            </w:pPr>
            <w:r w:rsidRPr="008C252E">
              <w:rPr>
                <w:rFonts w:ascii="Arial" w:hAnsi="Arial" w:cs="Arial"/>
                <w:b/>
                <w:sz w:val="24"/>
              </w:rPr>
              <w:t>Adverse Health Event</w:t>
            </w:r>
          </w:p>
        </w:tc>
        <w:tc>
          <w:tcPr>
            <w:tcW w:w="6151" w:type="dxa"/>
          </w:tcPr>
          <w:p w14:paraId="615ED051" w14:textId="57767D42" w:rsidR="00A66452" w:rsidRPr="008C252E" w:rsidRDefault="00A66452" w:rsidP="00A66452">
            <w:pPr>
              <w:pStyle w:val="TableParagraph"/>
              <w:spacing w:line="240" w:lineRule="auto"/>
              <w:ind w:left="108" w:right="201"/>
              <w:rPr>
                <w:rFonts w:ascii="Arial" w:hAnsi="Arial" w:cs="Arial"/>
                <w:sz w:val="24"/>
              </w:rPr>
            </w:pPr>
            <w:r w:rsidRPr="008C252E">
              <w:rPr>
                <w:rFonts w:ascii="Arial" w:hAnsi="Arial" w:cs="Arial"/>
                <w:sz w:val="24"/>
              </w:rPr>
              <w:t>An occurrence that results in an unintended outcome which negatively affects a patient's health or quality of life</w:t>
            </w:r>
            <w:r w:rsidR="006446E7">
              <w:rPr>
                <w:rFonts w:ascii="Arial" w:hAnsi="Arial" w:cs="Arial"/>
                <w:sz w:val="24"/>
              </w:rPr>
              <w:t>.</w:t>
            </w:r>
          </w:p>
          <w:p w14:paraId="0D6A92AA" w14:textId="77B04010" w:rsidR="00A66452" w:rsidRPr="008C252E" w:rsidRDefault="00A66452" w:rsidP="00A66452">
            <w:pPr>
              <w:pStyle w:val="TableParagraph"/>
              <w:spacing w:before="155" w:line="240" w:lineRule="auto"/>
              <w:ind w:left="108" w:right="135"/>
              <w:rPr>
                <w:rFonts w:ascii="Arial" w:hAnsi="Arial" w:cs="Arial"/>
                <w:sz w:val="24"/>
              </w:rPr>
            </w:pPr>
            <w:r w:rsidRPr="008C252E">
              <w:rPr>
                <w:rFonts w:ascii="Arial" w:hAnsi="Arial" w:cs="Arial"/>
                <w:sz w:val="24"/>
              </w:rPr>
              <w:t>Occurrence means an undesired or unplanned event that does not appear to be consistent with the safe provision of health services</w:t>
            </w:r>
            <w:r w:rsidR="006446E7">
              <w:rPr>
                <w:rFonts w:ascii="Arial" w:hAnsi="Arial" w:cs="Arial"/>
                <w:sz w:val="24"/>
              </w:rPr>
              <w:t>.</w:t>
            </w:r>
          </w:p>
          <w:p w14:paraId="4C893210" w14:textId="77777777" w:rsidR="00A66452" w:rsidRPr="008C252E" w:rsidRDefault="00A66452" w:rsidP="00A66452">
            <w:pPr>
              <w:pStyle w:val="TableParagraph"/>
              <w:spacing w:before="158" w:line="240" w:lineRule="auto"/>
              <w:ind w:left="168"/>
              <w:rPr>
                <w:rFonts w:ascii="Arial" w:hAnsi="Arial" w:cs="Arial"/>
                <w:sz w:val="24"/>
              </w:rPr>
            </w:pPr>
            <w:r w:rsidRPr="008C252E">
              <w:rPr>
                <w:rFonts w:ascii="Arial" w:hAnsi="Arial" w:cs="Arial"/>
                <w:sz w:val="24"/>
              </w:rPr>
              <w:t>(Patient Safety Act, 2017).</w:t>
            </w:r>
          </w:p>
        </w:tc>
      </w:tr>
      <w:tr w:rsidR="00A66452" w:rsidRPr="008C252E" w14:paraId="2DB97E39" w14:textId="77777777" w:rsidTr="00A66452">
        <w:trPr>
          <w:trHeight w:val="1648"/>
        </w:trPr>
        <w:tc>
          <w:tcPr>
            <w:tcW w:w="3199" w:type="dxa"/>
          </w:tcPr>
          <w:p w14:paraId="6421AC87" w14:textId="77777777" w:rsidR="00A66452" w:rsidRPr="008C252E" w:rsidRDefault="00A66452" w:rsidP="00A66452">
            <w:pPr>
              <w:pStyle w:val="TableParagraph"/>
              <w:spacing w:line="275" w:lineRule="exact"/>
              <w:rPr>
                <w:rFonts w:ascii="Arial" w:hAnsi="Arial" w:cs="Arial"/>
                <w:b/>
                <w:sz w:val="24"/>
              </w:rPr>
            </w:pPr>
            <w:r w:rsidRPr="008C252E">
              <w:rPr>
                <w:rFonts w:ascii="Arial" w:hAnsi="Arial" w:cs="Arial"/>
                <w:b/>
                <w:sz w:val="24"/>
              </w:rPr>
              <w:lastRenderedPageBreak/>
              <w:t>Agent</w:t>
            </w:r>
          </w:p>
        </w:tc>
        <w:tc>
          <w:tcPr>
            <w:tcW w:w="6151" w:type="dxa"/>
          </w:tcPr>
          <w:p w14:paraId="7AE491C7" w14:textId="77777777" w:rsidR="00A66452" w:rsidRPr="008C252E" w:rsidRDefault="00A66452" w:rsidP="00A66452">
            <w:pPr>
              <w:pStyle w:val="TableParagraph"/>
              <w:spacing w:line="259" w:lineRule="auto"/>
              <w:ind w:left="108" w:right="181"/>
              <w:rPr>
                <w:rFonts w:ascii="Arial" w:hAnsi="Arial" w:cs="Arial"/>
                <w:sz w:val="24"/>
              </w:rPr>
            </w:pPr>
            <w:r w:rsidRPr="008C252E">
              <w:rPr>
                <w:rFonts w:ascii="Arial" w:hAnsi="Arial" w:cs="Arial"/>
                <w:sz w:val="24"/>
              </w:rPr>
              <w:t>A person, other than an employee, authorized by Eastern Health to act on its behalf. This term includes physicians, volunteers, pastoral care workers as well as staff of contractors and other persons working within Eastern Health facilities or affiliated with Eastern Health.</w:t>
            </w:r>
          </w:p>
        </w:tc>
      </w:tr>
      <w:tr w:rsidR="00A66452" w:rsidRPr="008C252E" w14:paraId="5490716A" w14:textId="77777777" w:rsidTr="00A66452">
        <w:trPr>
          <w:trHeight w:val="457"/>
        </w:trPr>
        <w:tc>
          <w:tcPr>
            <w:tcW w:w="3199" w:type="dxa"/>
          </w:tcPr>
          <w:p w14:paraId="402C1F28" w14:textId="77777777" w:rsidR="00A66452" w:rsidRPr="008C252E" w:rsidRDefault="00A66452" w:rsidP="00A66452">
            <w:pPr>
              <w:pStyle w:val="TableParagraph"/>
              <w:spacing w:line="275" w:lineRule="exact"/>
              <w:rPr>
                <w:rFonts w:ascii="Arial" w:hAnsi="Arial" w:cs="Arial"/>
                <w:b/>
                <w:sz w:val="24"/>
              </w:rPr>
            </w:pPr>
            <w:r w:rsidRPr="008C252E">
              <w:rPr>
                <w:rFonts w:ascii="Arial" w:hAnsi="Arial" w:cs="Arial"/>
                <w:b/>
                <w:sz w:val="24"/>
              </w:rPr>
              <w:t>I.M.</w:t>
            </w:r>
          </w:p>
        </w:tc>
        <w:tc>
          <w:tcPr>
            <w:tcW w:w="6151" w:type="dxa"/>
          </w:tcPr>
          <w:p w14:paraId="77B42230" w14:textId="77777777" w:rsidR="00A66452" w:rsidRPr="008C252E" w:rsidRDefault="00A66452" w:rsidP="00A66452">
            <w:pPr>
              <w:pStyle w:val="TableParagraph"/>
              <w:spacing w:line="270" w:lineRule="exact"/>
              <w:ind w:left="108"/>
              <w:rPr>
                <w:rFonts w:ascii="Arial" w:hAnsi="Arial" w:cs="Arial"/>
                <w:sz w:val="24"/>
              </w:rPr>
            </w:pPr>
            <w:r w:rsidRPr="008C252E">
              <w:rPr>
                <w:rFonts w:ascii="Arial" w:hAnsi="Arial" w:cs="Arial"/>
                <w:sz w:val="24"/>
              </w:rPr>
              <w:t>Intramuscular, as in intramuscular injection</w:t>
            </w:r>
          </w:p>
        </w:tc>
      </w:tr>
      <w:tr w:rsidR="00A66452" w:rsidRPr="008C252E" w14:paraId="1E34D8BA" w14:textId="77777777" w:rsidTr="00A66452">
        <w:trPr>
          <w:trHeight w:val="457"/>
        </w:trPr>
        <w:tc>
          <w:tcPr>
            <w:tcW w:w="3199" w:type="dxa"/>
          </w:tcPr>
          <w:p w14:paraId="445BD197" w14:textId="77777777" w:rsidR="00A66452" w:rsidRPr="008C252E" w:rsidRDefault="00A66452" w:rsidP="00A66452">
            <w:pPr>
              <w:pStyle w:val="TableParagraph"/>
              <w:spacing w:line="275" w:lineRule="exact"/>
              <w:rPr>
                <w:rFonts w:ascii="Arial" w:hAnsi="Arial" w:cs="Arial"/>
                <w:b/>
                <w:sz w:val="24"/>
              </w:rPr>
            </w:pPr>
            <w:r w:rsidRPr="008C252E">
              <w:rPr>
                <w:rFonts w:ascii="Arial" w:hAnsi="Arial" w:cs="Arial"/>
                <w:b/>
                <w:sz w:val="24"/>
              </w:rPr>
              <w:t>P.O.</w:t>
            </w:r>
          </w:p>
        </w:tc>
        <w:tc>
          <w:tcPr>
            <w:tcW w:w="6151" w:type="dxa"/>
          </w:tcPr>
          <w:p w14:paraId="11845EC8" w14:textId="77777777" w:rsidR="00A66452" w:rsidRPr="008C252E" w:rsidRDefault="00A66452" w:rsidP="00A66452">
            <w:pPr>
              <w:pStyle w:val="TableParagraph"/>
              <w:spacing w:line="270" w:lineRule="exact"/>
              <w:ind w:left="108"/>
              <w:rPr>
                <w:rFonts w:ascii="Arial" w:hAnsi="Arial" w:cs="Arial"/>
                <w:sz w:val="24"/>
              </w:rPr>
            </w:pPr>
            <w:r w:rsidRPr="008C252E">
              <w:rPr>
                <w:rFonts w:ascii="Arial" w:hAnsi="Arial" w:cs="Arial"/>
                <w:sz w:val="24"/>
              </w:rPr>
              <w:t>Oral (e.g. Rotarix)</w:t>
            </w:r>
          </w:p>
        </w:tc>
      </w:tr>
      <w:tr w:rsidR="00A66452" w:rsidRPr="008C252E" w14:paraId="1DA1782F" w14:textId="77777777" w:rsidTr="00A66452">
        <w:trPr>
          <w:trHeight w:val="458"/>
        </w:trPr>
        <w:tc>
          <w:tcPr>
            <w:tcW w:w="3199" w:type="dxa"/>
          </w:tcPr>
          <w:p w14:paraId="6C6B28A4" w14:textId="77777777" w:rsidR="00A66452" w:rsidRPr="008C252E" w:rsidRDefault="00A66452" w:rsidP="00A66452">
            <w:pPr>
              <w:pStyle w:val="TableParagraph"/>
              <w:spacing w:line="275" w:lineRule="exact"/>
              <w:rPr>
                <w:rFonts w:ascii="Arial" w:hAnsi="Arial" w:cs="Arial"/>
                <w:b/>
                <w:sz w:val="24"/>
              </w:rPr>
            </w:pPr>
            <w:r w:rsidRPr="008C252E">
              <w:rPr>
                <w:rFonts w:ascii="Arial" w:hAnsi="Arial" w:cs="Arial"/>
                <w:b/>
                <w:sz w:val="24"/>
              </w:rPr>
              <w:t>subcut</w:t>
            </w:r>
            <w:r w:rsidR="00452072">
              <w:rPr>
                <w:rFonts w:ascii="Arial" w:hAnsi="Arial" w:cs="Arial"/>
                <w:b/>
                <w:sz w:val="24"/>
              </w:rPr>
              <w:t>aneous</w:t>
            </w:r>
          </w:p>
        </w:tc>
        <w:tc>
          <w:tcPr>
            <w:tcW w:w="6151" w:type="dxa"/>
          </w:tcPr>
          <w:p w14:paraId="660309F2" w14:textId="77777777" w:rsidR="00A66452" w:rsidRPr="008C252E" w:rsidRDefault="00A66452" w:rsidP="00A66452">
            <w:pPr>
              <w:pStyle w:val="TableParagraph"/>
              <w:spacing w:line="270" w:lineRule="exact"/>
              <w:ind w:left="108"/>
              <w:rPr>
                <w:rFonts w:ascii="Arial" w:hAnsi="Arial" w:cs="Arial"/>
                <w:sz w:val="24"/>
              </w:rPr>
            </w:pPr>
            <w:r w:rsidRPr="008C252E">
              <w:rPr>
                <w:rFonts w:ascii="Arial" w:hAnsi="Arial" w:cs="Arial"/>
                <w:sz w:val="24"/>
              </w:rPr>
              <w:t>Subcutaneous injection</w:t>
            </w:r>
          </w:p>
        </w:tc>
      </w:tr>
      <w:tr w:rsidR="00A66452" w:rsidRPr="008C252E" w14:paraId="1FCF8B5D" w14:textId="77777777" w:rsidTr="00A66452">
        <w:trPr>
          <w:trHeight w:val="1350"/>
        </w:trPr>
        <w:tc>
          <w:tcPr>
            <w:tcW w:w="3199" w:type="dxa"/>
          </w:tcPr>
          <w:p w14:paraId="568C72CC" w14:textId="77777777" w:rsidR="00A66452" w:rsidRPr="008C252E" w:rsidRDefault="00A66452" w:rsidP="00A66452">
            <w:pPr>
              <w:pStyle w:val="TableParagraph"/>
              <w:spacing w:line="275" w:lineRule="exact"/>
              <w:rPr>
                <w:rFonts w:ascii="Arial" w:hAnsi="Arial" w:cs="Arial"/>
                <w:b/>
                <w:sz w:val="24"/>
              </w:rPr>
            </w:pPr>
            <w:r w:rsidRPr="008C252E">
              <w:rPr>
                <w:rFonts w:ascii="Arial" w:hAnsi="Arial" w:cs="Arial"/>
                <w:b/>
                <w:sz w:val="24"/>
              </w:rPr>
              <w:t>Immunization</w:t>
            </w:r>
          </w:p>
        </w:tc>
        <w:tc>
          <w:tcPr>
            <w:tcW w:w="6151" w:type="dxa"/>
          </w:tcPr>
          <w:p w14:paraId="651CE023" w14:textId="77777777" w:rsidR="00A66452" w:rsidRPr="008C252E" w:rsidRDefault="00A66452" w:rsidP="00A66452">
            <w:pPr>
              <w:pStyle w:val="TableParagraph"/>
              <w:spacing w:line="259" w:lineRule="auto"/>
              <w:ind w:left="108" w:right="169"/>
              <w:rPr>
                <w:rFonts w:ascii="Arial" w:hAnsi="Arial" w:cs="Arial"/>
                <w:sz w:val="24"/>
              </w:rPr>
            </w:pPr>
            <w:r w:rsidRPr="008C252E">
              <w:rPr>
                <w:rFonts w:ascii="Arial" w:hAnsi="Arial" w:cs="Arial"/>
                <w:sz w:val="24"/>
              </w:rPr>
              <w:t>“Immunization” and “Vaccination” are used interchangeably to mean the process of injecting a vaccine or immunization agent so as to enable an individual to develop resistance or immunity to a disease-causing organism.</w:t>
            </w:r>
          </w:p>
        </w:tc>
      </w:tr>
      <w:tr w:rsidR="00A66452" w:rsidRPr="008C252E" w14:paraId="4C462944" w14:textId="77777777" w:rsidTr="00A66452">
        <w:trPr>
          <w:trHeight w:val="1353"/>
        </w:trPr>
        <w:tc>
          <w:tcPr>
            <w:tcW w:w="3199" w:type="dxa"/>
          </w:tcPr>
          <w:p w14:paraId="782230CB" w14:textId="77777777" w:rsidR="00A66452" w:rsidRPr="008C252E" w:rsidRDefault="00A66452" w:rsidP="00A66452">
            <w:pPr>
              <w:pStyle w:val="TableParagraph"/>
              <w:spacing w:line="275" w:lineRule="exact"/>
              <w:rPr>
                <w:rFonts w:ascii="Arial" w:hAnsi="Arial" w:cs="Arial"/>
                <w:b/>
                <w:sz w:val="24"/>
              </w:rPr>
            </w:pPr>
            <w:r w:rsidRPr="008C252E">
              <w:rPr>
                <w:rFonts w:ascii="Arial" w:hAnsi="Arial" w:cs="Arial"/>
                <w:b/>
                <w:sz w:val="24"/>
              </w:rPr>
              <w:t>Vaccination</w:t>
            </w:r>
          </w:p>
        </w:tc>
        <w:tc>
          <w:tcPr>
            <w:tcW w:w="6151" w:type="dxa"/>
          </w:tcPr>
          <w:p w14:paraId="52B6DCEC" w14:textId="116BB934" w:rsidR="00A66452" w:rsidRPr="008C252E" w:rsidRDefault="00A66452" w:rsidP="00A66452">
            <w:pPr>
              <w:pStyle w:val="TableParagraph"/>
              <w:spacing w:line="259" w:lineRule="auto"/>
              <w:ind w:left="108" w:right="169"/>
              <w:rPr>
                <w:rFonts w:ascii="Arial" w:hAnsi="Arial" w:cs="Arial"/>
                <w:sz w:val="24"/>
              </w:rPr>
            </w:pPr>
            <w:r w:rsidRPr="008C252E">
              <w:rPr>
                <w:rFonts w:ascii="Arial" w:hAnsi="Arial" w:cs="Arial"/>
                <w:sz w:val="24"/>
              </w:rPr>
              <w:t xml:space="preserve">“Immunization” and “Vaccination” are used interchangeably to mean the process of injecting a vaccine or immunization agent </w:t>
            </w:r>
            <w:r w:rsidR="006446E7" w:rsidRPr="008C252E">
              <w:rPr>
                <w:rFonts w:ascii="Arial" w:hAnsi="Arial" w:cs="Arial"/>
                <w:sz w:val="24"/>
              </w:rPr>
              <w:t>to</w:t>
            </w:r>
            <w:r w:rsidRPr="008C252E">
              <w:rPr>
                <w:rFonts w:ascii="Arial" w:hAnsi="Arial" w:cs="Arial"/>
                <w:sz w:val="24"/>
              </w:rPr>
              <w:t xml:space="preserve"> enable an individual to develop resistance or immunity to a disease-causing organism.</w:t>
            </w:r>
          </w:p>
        </w:tc>
      </w:tr>
      <w:tr w:rsidR="00A66452" w:rsidRPr="008C252E" w14:paraId="502794E1" w14:textId="77777777" w:rsidTr="00A66452">
        <w:trPr>
          <w:trHeight w:val="1648"/>
        </w:trPr>
        <w:tc>
          <w:tcPr>
            <w:tcW w:w="3199" w:type="dxa"/>
          </w:tcPr>
          <w:p w14:paraId="3AAA063F" w14:textId="77777777" w:rsidR="00A66452" w:rsidRPr="008C252E" w:rsidRDefault="00A66452" w:rsidP="00A66452">
            <w:pPr>
              <w:pStyle w:val="TableParagraph"/>
              <w:spacing w:line="275" w:lineRule="exact"/>
              <w:rPr>
                <w:rFonts w:ascii="Arial" w:hAnsi="Arial" w:cs="Arial"/>
                <w:b/>
                <w:sz w:val="24"/>
              </w:rPr>
            </w:pPr>
            <w:r w:rsidRPr="008C252E">
              <w:rPr>
                <w:rFonts w:ascii="Arial" w:hAnsi="Arial" w:cs="Arial"/>
                <w:b/>
                <w:sz w:val="24"/>
              </w:rPr>
              <w:t>Vaccine</w:t>
            </w:r>
          </w:p>
        </w:tc>
        <w:tc>
          <w:tcPr>
            <w:tcW w:w="6151" w:type="dxa"/>
          </w:tcPr>
          <w:p w14:paraId="27BE71FC" w14:textId="39640392" w:rsidR="00A66452" w:rsidRPr="008C252E" w:rsidRDefault="00A66452" w:rsidP="00A66452">
            <w:pPr>
              <w:pStyle w:val="TableParagraph"/>
              <w:spacing w:line="259" w:lineRule="auto"/>
              <w:ind w:right="369"/>
              <w:rPr>
                <w:rFonts w:ascii="Arial" w:hAnsi="Arial" w:cs="Arial"/>
                <w:sz w:val="24"/>
              </w:rPr>
            </w:pPr>
            <w:r w:rsidRPr="008C252E">
              <w:rPr>
                <w:rFonts w:ascii="Arial" w:hAnsi="Arial" w:cs="Arial"/>
                <w:sz w:val="24"/>
              </w:rPr>
              <w:t xml:space="preserve">A vaccine is a pharmaceutical product used to create immunity to an infectious disease in individuals through injection or oral administration. Vaccines may be live or killed viruses or bacteria or sub-units of viruses or bacteria created </w:t>
            </w:r>
            <w:r w:rsidR="005A0EBD" w:rsidRPr="008C252E">
              <w:rPr>
                <w:rFonts w:ascii="Arial" w:hAnsi="Arial" w:cs="Arial"/>
                <w:sz w:val="24"/>
              </w:rPr>
              <w:t>using</w:t>
            </w:r>
            <w:r w:rsidRPr="008C252E">
              <w:rPr>
                <w:rFonts w:ascii="Arial" w:hAnsi="Arial" w:cs="Arial"/>
                <w:sz w:val="24"/>
              </w:rPr>
              <w:t xml:space="preserve"> genetic material.</w:t>
            </w:r>
          </w:p>
        </w:tc>
      </w:tr>
    </w:tbl>
    <w:p w14:paraId="19876EC2" w14:textId="77777777" w:rsidR="00A66452" w:rsidRPr="008C252E" w:rsidRDefault="00A66452" w:rsidP="00A66452">
      <w:pPr>
        <w:rPr>
          <w:rFonts w:ascii="Arial" w:hAnsi="Arial" w:cs="Arial"/>
        </w:rPr>
      </w:pPr>
    </w:p>
    <w:sectPr w:rsidR="00A66452" w:rsidRPr="008C252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A610" w14:textId="77777777" w:rsidR="004602FB" w:rsidRDefault="004602FB">
      <w:r>
        <w:separator/>
      </w:r>
    </w:p>
  </w:endnote>
  <w:endnote w:type="continuationSeparator" w:id="0">
    <w:p w14:paraId="6364B831" w14:textId="77777777" w:rsidR="004602FB" w:rsidRDefault="0046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0201" w14:textId="77777777" w:rsidR="004602FB" w:rsidRDefault="004602FB">
      <w:r>
        <w:separator/>
      </w:r>
    </w:p>
  </w:footnote>
  <w:footnote w:type="continuationSeparator" w:id="0">
    <w:p w14:paraId="72E393DC" w14:textId="77777777" w:rsidR="004602FB" w:rsidRDefault="0046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8E76" w14:textId="77777777" w:rsidR="00C663FE" w:rsidRDefault="00000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54AE"/>
    <w:multiLevelType w:val="hybridMultilevel"/>
    <w:tmpl w:val="1618E8AC"/>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2503BC6"/>
    <w:multiLevelType w:val="hybridMultilevel"/>
    <w:tmpl w:val="DA5450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A0546"/>
    <w:multiLevelType w:val="hybridMultilevel"/>
    <w:tmpl w:val="E02815EE"/>
    <w:lvl w:ilvl="0" w:tplc="9E3006D2">
      <w:start w:val="1"/>
      <w:numFmt w:val="lowerRoman"/>
      <w:lvlText w:val="%1."/>
      <w:lvlJc w:val="left"/>
      <w:pPr>
        <w:ind w:left="3182" w:hanging="286"/>
        <w:jc w:val="right"/>
      </w:pPr>
      <w:rPr>
        <w:rFonts w:ascii="Franklin Gothic Book" w:eastAsia="Franklin Gothic Book" w:hAnsi="Franklin Gothic Book" w:cs="Franklin Gothic Book" w:hint="default"/>
        <w:w w:val="100"/>
        <w:sz w:val="22"/>
        <w:szCs w:val="22"/>
      </w:rPr>
    </w:lvl>
    <w:lvl w:ilvl="1" w:tplc="18083F94">
      <w:numFmt w:val="bullet"/>
      <w:lvlText w:val=""/>
      <w:lvlJc w:val="left"/>
      <w:pPr>
        <w:ind w:left="3902" w:hanging="360"/>
      </w:pPr>
      <w:rPr>
        <w:rFonts w:ascii="Symbol" w:eastAsia="Symbol" w:hAnsi="Symbol" w:cs="Symbol" w:hint="default"/>
        <w:w w:val="100"/>
        <w:sz w:val="22"/>
        <w:szCs w:val="22"/>
      </w:rPr>
    </w:lvl>
    <w:lvl w:ilvl="2" w:tplc="8DF8EB2C">
      <w:numFmt w:val="bullet"/>
      <w:lvlText w:val="•"/>
      <w:lvlJc w:val="left"/>
      <w:pPr>
        <w:ind w:left="4711" w:hanging="360"/>
      </w:pPr>
      <w:rPr>
        <w:rFonts w:hint="default"/>
      </w:rPr>
    </w:lvl>
    <w:lvl w:ilvl="3" w:tplc="9F0869D0">
      <w:numFmt w:val="bullet"/>
      <w:lvlText w:val="•"/>
      <w:lvlJc w:val="left"/>
      <w:pPr>
        <w:ind w:left="5522" w:hanging="360"/>
      </w:pPr>
      <w:rPr>
        <w:rFonts w:hint="default"/>
      </w:rPr>
    </w:lvl>
    <w:lvl w:ilvl="4" w:tplc="ECC6FB60">
      <w:numFmt w:val="bullet"/>
      <w:lvlText w:val="•"/>
      <w:lvlJc w:val="left"/>
      <w:pPr>
        <w:ind w:left="6333" w:hanging="360"/>
      </w:pPr>
      <w:rPr>
        <w:rFonts w:hint="default"/>
      </w:rPr>
    </w:lvl>
    <w:lvl w:ilvl="5" w:tplc="44F6F638">
      <w:numFmt w:val="bullet"/>
      <w:lvlText w:val="•"/>
      <w:lvlJc w:val="left"/>
      <w:pPr>
        <w:ind w:left="7144" w:hanging="360"/>
      </w:pPr>
      <w:rPr>
        <w:rFonts w:hint="default"/>
      </w:rPr>
    </w:lvl>
    <w:lvl w:ilvl="6" w:tplc="724C2B46">
      <w:numFmt w:val="bullet"/>
      <w:lvlText w:val="•"/>
      <w:lvlJc w:val="left"/>
      <w:pPr>
        <w:ind w:left="7955" w:hanging="360"/>
      </w:pPr>
      <w:rPr>
        <w:rFonts w:hint="default"/>
      </w:rPr>
    </w:lvl>
    <w:lvl w:ilvl="7" w:tplc="9F340CB4">
      <w:numFmt w:val="bullet"/>
      <w:lvlText w:val="•"/>
      <w:lvlJc w:val="left"/>
      <w:pPr>
        <w:ind w:left="8766" w:hanging="360"/>
      </w:pPr>
      <w:rPr>
        <w:rFonts w:hint="default"/>
      </w:rPr>
    </w:lvl>
    <w:lvl w:ilvl="8" w:tplc="999EAEB4">
      <w:numFmt w:val="bullet"/>
      <w:lvlText w:val="•"/>
      <w:lvlJc w:val="left"/>
      <w:pPr>
        <w:ind w:left="9577" w:hanging="360"/>
      </w:pPr>
      <w:rPr>
        <w:rFonts w:hint="default"/>
      </w:rPr>
    </w:lvl>
  </w:abstractNum>
  <w:abstractNum w:abstractNumId="3" w15:restartNumberingAfterBreak="0">
    <w:nsid w:val="1D2F40BB"/>
    <w:multiLevelType w:val="hybridMultilevel"/>
    <w:tmpl w:val="099ACC3A"/>
    <w:lvl w:ilvl="0" w:tplc="04090005">
      <w:start w:val="1"/>
      <w:numFmt w:val="bullet"/>
      <w:lvlText w:val=""/>
      <w:lvlJc w:val="left"/>
      <w:pPr>
        <w:ind w:left="720" w:hanging="360"/>
      </w:pPr>
      <w:rPr>
        <w:rFonts w:ascii="Wingdings" w:hAnsi="Wingding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78A8"/>
    <w:multiLevelType w:val="hybridMultilevel"/>
    <w:tmpl w:val="2A8A4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D70E1"/>
    <w:multiLevelType w:val="hybridMultilevel"/>
    <w:tmpl w:val="51A471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EC661AB"/>
    <w:multiLevelType w:val="hybridMultilevel"/>
    <w:tmpl w:val="7C2E7456"/>
    <w:lvl w:ilvl="0" w:tplc="04090005">
      <w:start w:val="1"/>
      <w:numFmt w:val="bullet"/>
      <w:lvlText w:val=""/>
      <w:lvlJc w:val="left"/>
      <w:pPr>
        <w:ind w:left="720" w:hanging="360"/>
      </w:pPr>
      <w:rPr>
        <w:rFonts w:ascii="Wingdings" w:hAnsi="Wingding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F2DF0"/>
    <w:multiLevelType w:val="hybridMultilevel"/>
    <w:tmpl w:val="4E6CF3CE"/>
    <w:lvl w:ilvl="0" w:tplc="FDD8F198">
      <w:numFmt w:val="bullet"/>
      <w:lvlText w:val=""/>
      <w:lvlJc w:val="left"/>
      <w:pPr>
        <w:ind w:left="1860" w:hanging="360"/>
      </w:pPr>
      <w:rPr>
        <w:rFonts w:ascii="Symbol" w:eastAsia="Symbol" w:hAnsi="Symbol" w:cs="Symbol" w:hint="default"/>
        <w:w w:val="100"/>
        <w:sz w:val="22"/>
        <w:szCs w:val="22"/>
      </w:rPr>
    </w:lvl>
    <w:lvl w:ilvl="1" w:tplc="04090005">
      <w:start w:val="1"/>
      <w:numFmt w:val="bullet"/>
      <w:lvlText w:val=""/>
      <w:lvlJc w:val="left"/>
      <w:pPr>
        <w:ind w:left="2040" w:hanging="360"/>
      </w:pPr>
      <w:rPr>
        <w:rFonts w:ascii="Wingdings" w:hAnsi="Wingdings" w:hint="default"/>
        <w:w w:val="100"/>
      </w:rPr>
    </w:lvl>
    <w:lvl w:ilvl="2" w:tplc="4710B5AA">
      <w:numFmt w:val="bullet"/>
      <w:lvlText w:val="•"/>
      <w:lvlJc w:val="left"/>
      <w:pPr>
        <w:ind w:left="3057" w:hanging="360"/>
      </w:pPr>
      <w:rPr>
        <w:rFonts w:hint="default"/>
      </w:rPr>
    </w:lvl>
    <w:lvl w:ilvl="3" w:tplc="B49C389A">
      <w:numFmt w:val="bullet"/>
      <w:lvlText w:val="•"/>
      <w:lvlJc w:val="left"/>
      <w:pPr>
        <w:ind w:left="4075" w:hanging="360"/>
      </w:pPr>
      <w:rPr>
        <w:rFonts w:hint="default"/>
      </w:rPr>
    </w:lvl>
    <w:lvl w:ilvl="4" w:tplc="DCC62F10">
      <w:numFmt w:val="bullet"/>
      <w:lvlText w:val="•"/>
      <w:lvlJc w:val="left"/>
      <w:pPr>
        <w:ind w:left="5093" w:hanging="360"/>
      </w:pPr>
      <w:rPr>
        <w:rFonts w:hint="default"/>
      </w:rPr>
    </w:lvl>
    <w:lvl w:ilvl="5" w:tplc="C1F45C6A">
      <w:numFmt w:val="bullet"/>
      <w:lvlText w:val="•"/>
      <w:lvlJc w:val="left"/>
      <w:pPr>
        <w:ind w:left="6111" w:hanging="360"/>
      </w:pPr>
      <w:rPr>
        <w:rFonts w:hint="default"/>
      </w:rPr>
    </w:lvl>
    <w:lvl w:ilvl="6" w:tplc="A31C1856">
      <w:numFmt w:val="bullet"/>
      <w:lvlText w:val="•"/>
      <w:lvlJc w:val="left"/>
      <w:pPr>
        <w:ind w:left="7128" w:hanging="360"/>
      </w:pPr>
      <w:rPr>
        <w:rFonts w:hint="default"/>
      </w:rPr>
    </w:lvl>
    <w:lvl w:ilvl="7" w:tplc="D94CE480">
      <w:numFmt w:val="bullet"/>
      <w:lvlText w:val="•"/>
      <w:lvlJc w:val="left"/>
      <w:pPr>
        <w:ind w:left="8146" w:hanging="360"/>
      </w:pPr>
      <w:rPr>
        <w:rFonts w:hint="default"/>
      </w:rPr>
    </w:lvl>
    <w:lvl w:ilvl="8" w:tplc="90D0E538">
      <w:numFmt w:val="bullet"/>
      <w:lvlText w:val="•"/>
      <w:lvlJc w:val="left"/>
      <w:pPr>
        <w:ind w:left="9164" w:hanging="360"/>
      </w:pPr>
      <w:rPr>
        <w:rFonts w:hint="default"/>
      </w:rPr>
    </w:lvl>
  </w:abstractNum>
  <w:abstractNum w:abstractNumId="8" w15:restartNumberingAfterBreak="0">
    <w:nsid w:val="54CC4DDF"/>
    <w:multiLevelType w:val="hybridMultilevel"/>
    <w:tmpl w:val="934417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A73E18"/>
    <w:multiLevelType w:val="hybridMultilevel"/>
    <w:tmpl w:val="C1101C50"/>
    <w:lvl w:ilvl="0" w:tplc="5F9A210A">
      <w:start w:val="5"/>
      <w:numFmt w:val="lowerRoman"/>
      <w:lvlText w:val="%1."/>
      <w:lvlJc w:val="left"/>
      <w:pPr>
        <w:ind w:left="3182" w:hanging="286"/>
      </w:pPr>
      <w:rPr>
        <w:rFonts w:ascii="Franklin Gothic Book" w:eastAsia="Franklin Gothic Book" w:hAnsi="Franklin Gothic Book" w:cs="Franklin Gothic Book"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536EA"/>
    <w:multiLevelType w:val="hybridMultilevel"/>
    <w:tmpl w:val="30DE3F5C"/>
    <w:lvl w:ilvl="0" w:tplc="04090005">
      <w:start w:val="1"/>
      <w:numFmt w:val="bullet"/>
      <w:lvlText w:val=""/>
      <w:lvlJc w:val="left"/>
      <w:pPr>
        <w:ind w:left="720" w:hanging="360"/>
      </w:pPr>
      <w:rPr>
        <w:rFonts w:ascii="Wingdings" w:hAnsi="Wingding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25BB3"/>
    <w:multiLevelType w:val="hybridMultilevel"/>
    <w:tmpl w:val="9F38A6BC"/>
    <w:lvl w:ilvl="0" w:tplc="FC2021D0">
      <w:start w:val="1"/>
      <w:numFmt w:val="decimal"/>
      <w:lvlText w:val="%1."/>
      <w:lvlJc w:val="left"/>
      <w:pPr>
        <w:ind w:left="1744" w:hanging="360"/>
      </w:pPr>
      <w:rPr>
        <w:rFonts w:ascii="Franklin Gothic Book" w:eastAsia="Franklin Gothic Book" w:hAnsi="Franklin Gothic Book" w:cs="Franklin Gothic Book" w:hint="default"/>
        <w:w w:val="100"/>
        <w:sz w:val="22"/>
        <w:szCs w:val="22"/>
      </w:rPr>
    </w:lvl>
    <w:lvl w:ilvl="1" w:tplc="04090003">
      <w:start w:val="1"/>
      <w:numFmt w:val="bullet"/>
      <w:lvlText w:val="o"/>
      <w:lvlJc w:val="left"/>
      <w:pPr>
        <w:ind w:left="2042" w:hanging="360"/>
      </w:pPr>
      <w:rPr>
        <w:rFonts w:ascii="Courier New" w:hAnsi="Courier New" w:cs="Courier New" w:hint="default"/>
        <w:w w:val="100"/>
        <w:sz w:val="22"/>
        <w:szCs w:val="22"/>
      </w:rPr>
    </w:lvl>
    <w:lvl w:ilvl="2" w:tplc="2298A9FE">
      <w:numFmt w:val="bullet"/>
      <w:lvlText w:val="•"/>
      <w:lvlJc w:val="left"/>
      <w:pPr>
        <w:ind w:left="2462" w:hanging="360"/>
      </w:pPr>
      <w:rPr>
        <w:rFonts w:hint="default"/>
        <w:sz w:val="22"/>
        <w:szCs w:val="22"/>
      </w:rPr>
    </w:lvl>
    <w:lvl w:ilvl="3" w:tplc="C1FC91EC">
      <w:numFmt w:val="bullet"/>
      <w:lvlText w:val="•"/>
      <w:lvlJc w:val="left"/>
      <w:pPr>
        <w:ind w:left="3554" w:hanging="360"/>
      </w:pPr>
      <w:rPr>
        <w:rFonts w:hint="default"/>
      </w:rPr>
    </w:lvl>
    <w:lvl w:ilvl="4" w:tplc="9058006C">
      <w:numFmt w:val="bullet"/>
      <w:lvlText w:val="•"/>
      <w:lvlJc w:val="left"/>
      <w:pPr>
        <w:ind w:left="4647" w:hanging="360"/>
      </w:pPr>
      <w:rPr>
        <w:rFonts w:hint="default"/>
      </w:rPr>
    </w:lvl>
    <w:lvl w:ilvl="5" w:tplc="776E4F84">
      <w:numFmt w:val="bullet"/>
      <w:lvlText w:val="•"/>
      <w:lvlJc w:val="left"/>
      <w:pPr>
        <w:ind w:left="5739" w:hanging="360"/>
      </w:pPr>
      <w:rPr>
        <w:rFonts w:hint="default"/>
      </w:rPr>
    </w:lvl>
    <w:lvl w:ilvl="6" w:tplc="D6DE81A8">
      <w:numFmt w:val="bullet"/>
      <w:lvlText w:val="•"/>
      <w:lvlJc w:val="left"/>
      <w:pPr>
        <w:ind w:left="6832" w:hanging="360"/>
      </w:pPr>
      <w:rPr>
        <w:rFonts w:hint="default"/>
      </w:rPr>
    </w:lvl>
    <w:lvl w:ilvl="7" w:tplc="ABF2EB6C">
      <w:numFmt w:val="bullet"/>
      <w:lvlText w:val="•"/>
      <w:lvlJc w:val="left"/>
      <w:pPr>
        <w:ind w:left="7924" w:hanging="360"/>
      </w:pPr>
      <w:rPr>
        <w:rFonts w:hint="default"/>
      </w:rPr>
    </w:lvl>
    <w:lvl w:ilvl="8" w:tplc="12DE385A">
      <w:numFmt w:val="bullet"/>
      <w:lvlText w:val="•"/>
      <w:lvlJc w:val="left"/>
      <w:pPr>
        <w:ind w:left="9017" w:hanging="360"/>
      </w:pPr>
      <w:rPr>
        <w:rFonts w:hint="default"/>
      </w:rPr>
    </w:lvl>
  </w:abstractNum>
  <w:abstractNum w:abstractNumId="12" w15:restartNumberingAfterBreak="0">
    <w:nsid w:val="73C05A3C"/>
    <w:multiLevelType w:val="hybridMultilevel"/>
    <w:tmpl w:val="2CC8448E"/>
    <w:lvl w:ilvl="0" w:tplc="2522F4BA">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D7610"/>
    <w:multiLevelType w:val="hybridMultilevel"/>
    <w:tmpl w:val="EAF0B38E"/>
    <w:lvl w:ilvl="0" w:tplc="FE2433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132098">
    <w:abstractNumId w:val="2"/>
  </w:num>
  <w:num w:numId="2" w16cid:durableId="659697811">
    <w:abstractNumId w:val="11"/>
  </w:num>
  <w:num w:numId="3" w16cid:durableId="1215776118">
    <w:abstractNumId w:val="7"/>
  </w:num>
  <w:num w:numId="4" w16cid:durableId="271284664">
    <w:abstractNumId w:val="3"/>
  </w:num>
  <w:num w:numId="5" w16cid:durableId="157893693">
    <w:abstractNumId w:val="10"/>
  </w:num>
  <w:num w:numId="6" w16cid:durableId="1210066331">
    <w:abstractNumId w:val="6"/>
  </w:num>
  <w:num w:numId="7" w16cid:durableId="1932614822">
    <w:abstractNumId w:val="5"/>
  </w:num>
  <w:num w:numId="8" w16cid:durableId="693582212">
    <w:abstractNumId w:val="0"/>
  </w:num>
  <w:num w:numId="9" w16cid:durableId="1550845637">
    <w:abstractNumId w:val="1"/>
  </w:num>
  <w:num w:numId="10" w16cid:durableId="446579717">
    <w:abstractNumId w:val="8"/>
  </w:num>
  <w:num w:numId="11" w16cid:durableId="1916085848">
    <w:abstractNumId w:val="4"/>
  </w:num>
  <w:num w:numId="12" w16cid:durableId="774403821">
    <w:abstractNumId w:val="12"/>
  </w:num>
  <w:num w:numId="13" w16cid:durableId="1538080227">
    <w:abstractNumId w:val="9"/>
  </w:num>
  <w:num w:numId="14" w16cid:durableId="4001773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452"/>
    <w:rsid w:val="00005251"/>
    <w:rsid w:val="00006E5E"/>
    <w:rsid w:val="00053A8D"/>
    <w:rsid w:val="00094A2D"/>
    <w:rsid w:val="000F2CE1"/>
    <w:rsid w:val="001967AB"/>
    <w:rsid w:val="002034D7"/>
    <w:rsid w:val="002561C0"/>
    <w:rsid w:val="00275EAB"/>
    <w:rsid w:val="002C13F7"/>
    <w:rsid w:val="002D59A8"/>
    <w:rsid w:val="00343B75"/>
    <w:rsid w:val="003549A6"/>
    <w:rsid w:val="00376482"/>
    <w:rsid w:val="00383324"/>
    <w:rsid w:val="003D2F88"/>
    <w:rsid w:val="00452072"/>
    <w:rsid w:val="004602FB"/>
    <w:rsid w:val="00482C33"/>
    <w:rsid w:val="00517484"/>
    <w:rsid w:val="00530CE2"/>
    <w:rsid w:val="005459F8"/>
    <w:rsid w:val="00573EF9"/>
    <w:rsid w:val="00582313"/>
    <w:rsid w:val="005A0EBD"/>
    <w:rsid w:val="005A18E6"/>
    <w:rsid w:val="005B01F1"/>
    <w:rsid w:val="005C2A4B"/>
    <w:rsid w:val="005D4F52"/>
    <w:rsid w:val="006138F2"/>
    <w:rsid w:val="006446E7"/>
    <w:rsid w:val="006B2FDA"/>
    <w:rsid w:val="006E6A04"/>
    <w:rsid w:val="006F6622"/>
    <w:rsid w:val="007130CB"/>
    <w:rsid w:val="0078710A"/>
    <w:rsid w:val="007F5948"/>
    <w:rsid w:val="00840870"/>
    <w:rsid w:val="00843E0F"/>
    <w:rsid w:val="008720FF"/>
    <w:rsid w:val="008C252E"/>
    <w:rsid w:val="008E078C"/>
    <w:rsid w:val="00905624"/>
    <w:rsid w:val="0091740C"/>
    <w:rsid w:val="00972602"/>
    <w:rsid w:val="009869A2"/>
    <w:rsid w:val="009A27B6"/>
    <w:rsid w:val="009A50F1"/>
    <w:rsid w:val="009D7257"/>
    <w:rsid w:val="009E6E8C"/>
    <w:rsid w:val="009F41E0"/>
    <w:rsid w:val="009F7C8E"/>
    <w:rsid w:val="00A04468"/>
    <w:rsid w:val="00A20773"/>
    <w:rsid w:val="00A50018"/>
    <w:rsid w:val="00A66452"/>
    <w:rsid w:val="00A97B90"/>
    <w:rsid w:val="00AF40A9"/>
    <w:rsid w:val="00B23583"/>
    <w:rsid w:val="00B63AD8"/>
    <w:rsid w:val="00B76888"/>
    <w:rsid w:val="00BB56EA"/>
    <w:rsid w:val="00BF37CB"/>
    <w:rsid w:val="00C0196E"/>
    <w:rsid w:val="00C04E01"/>
    <w:rsid w:val="00C202AC"/>
    <w:rsid w:val="00C57273"/>
    <w:rsid w:val="00C66FDD"/>
    <w:rsid w:val="00C710F5"/>
    <w:rsid w:val="00C727AB"/>
    <w:rsid w:val="00C907BE"/>
    <w:rsid w:val="00C97215"/>
    <w:rsid w:val="00CB2ADC"/>
    <w:rsid w:val="00CB4A9C"/>
    <w:rsid w:val="00CB5E60"/>
    <w:rsid w:val="00CB6958"/>
    <w:rsid w:val="00CD714F"/>
    <w:rsid w:val="00CE016F"/>
    <w:rsid w:val="00CE739D"/>
    <w:rsid w:val="00D54319"/>
    <w:rsid w:val="00D878F2"/>
    <w:rsid w:val="00DA6719"/>
    <w:rsid w:val="00E1656F"/>
    <w:rsid w:val="00E17A38"/>
    <w:rsid w:val="00E35A93"/>
    <w:rsid w:val="00E44C9A"/>
    <w:rsid w:val="00E92980"/>
    <w:rsid w:val="00EA7BA4"/>
    <w:rsid w:val="00F37C95"/>
    <w:rsid w:val="00F54EF8"/>
    <w:rsid w:val="00FB46D8"/>
    <w:rsid w:val="00FE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9A8CF"/>
  <w15:chartTrackingRefBased/>
  <w15:docId w15:val="{D42E6A26-668B-4C46-95D3-ACB4AC4F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645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6452"/>
    <w:rPr>
      <w:rFonts w:ascii="Arial" w:eastAsia="Arial" w:hAnsi="Arial" w:cs="Arial"/>
    </w:rPr>
  </w:style>
  <w:style w:type="character" w:customStyle="1" w:styleId="BodyTextChar">
    <w:name w:val="Body Text Char"/>
    <w:basedOn w:val="DefaultParagraphFont"/>
    <w:link w:val="BodyText"/>
    <w:uiPriority w:val="1"/>
    <w:rsid w:val="00A66452"/>
    <w:rPr>
      <w:rFonts w:ascii="Arial" w:eastAsia="Arial" w:hAnsi="Arial" w:cs="Arial"/>
    </w:rPr>
  </w:style>
  <w:style w:type="paragraph" w:styleId="ListParagraph">
    <w:name w:val="List Paragraph"/>
    <w:basedOn w:val="Normal"/>
    <w:uiPriority w:val="34"/>
    <w:qFormat/>
    <w:rsid w:val="00A66452"/>
    <w:pPr>
      <w:ind w:left="2040" w:hanging="361"/>
    </w:pPr>
  </w:style>
  <w:style w:type="paragraph" w:customStyle="1" w:styleId="TableParagraph">
    <w:name w:val="Table Paragraph"/>
    <w:basedOn w:val="Normal"/>
    <w:uiPriority w:val="1"/>
    <w:qFormat/>
    <w:rsid w:val="00A66452"/>
    <w:pPr>
      <w:spacing w:line="272" w:lineRule="exact"/>
      <w:ind w:left="107"/>
    </w:pPr>
  </w:style>
  <w:style w:type="character" w:styleId="CommentReference">
    <w:name w:val="annotation reference"/>
    <w:basedOn w:val="DefaultParagraphFont"/>
    <w:uiPriority w:val="99"/>
    <w:semiHidden/>
    <w:unhideWhenUsed/>
    <w:rsid w:val="00E35A93"/>
    <w:rPr>
      <w:sz w:val="16"/>
      <w:szCs w:val="16"/>
    </w:rPr>
  </w:style>
  <w:style w:type="paragraph" w:styleId="CommentText">
    <w:name w:val="annotation text"/>
    <w:basedOn w:val="Normal"/>
    <w:link w:val="CommentTextChar"/>
    <w:uiPriority w:val="99"/>
    <w:semiHidden/>
    <w:unhideWhenUsed/>
    <w:rsid w:val="00E35A93"/>
    <w:rPr>
      <w:sz w:val="20"/>
      <w:szCs w:val="20"/>
    </w:rPr>
  </w:style>
  <w:style w:type="character" w:customStyle="1" w:styleId="CommentTextChar">
    <w:name w:val="Comment Text Char"/>
    <w:basedOn w:val="DefaultParagraphFont"/>
    <w:link w:val="CommentText"/>
    <w:uiPriority w:val="99"/>
    <w:semiHidden/>
    <w:rsid w:val="00E35A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A93"/>
    <w:rPr>
      <w:b/>
      <w:bCs/>
    </w:rPr>
  </w:style>
  <w:style w:type="character" w:customStyle="1" w:styleId="CommentSubjectChar">
    <w:name w:val="Comment Subject Char"/>
    <w:basedOn w:val="CommentTextChar"/>
    <w:link w:val="CommentSubject"/>
    <w:uiPriority w:val="99"/>
    <w:semiHidden/>
    <w:rsid w:val="00E35A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5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93"/>
    <w:rPr>
      <w:rFonts w:ascii="Segoe UI" w:eastAsia="Times New Roman" w:hAnsi="Segoe UI" w:cs="Segoe UI"/>
      <w:sz w:val="18"/>
      <w:szCs w:val="18"/>
    </w:rPr>
  </w:style>
  <w:style w:type="character" w:styleId="Hyperlink">
    <w:name w:val="Hyperlink"/>
    <w:basedOn w:val="DefaultParagraphFont"/>
    <w:uiPriority w:val="99"/>
    <w:unhideWhenUsed/>
    <w:rsid w:val="003549A6"/>
    <w:rPr>
      <w:color w:val="0000FF"/>
      <w:u w:val="single"/>
    </w:rPr>
  </w:style>
  <w:style w:type="paragraph" w:customStyle="1" w:styleId="Default">
    <w:name w:val="Default"/>
    <w:rsid w:val="00573EF9"/>
    <w:pPr>
      <w:autoSpaceDE w:val="0"/>
      <w:autoSpaceDN w:val="0"/>
      <w:adjustRightInd w:val="0"/>
      <w:spacing w:after="0" w:line="240" w:lineRule="auto"/>
    </w:pPr>
    <w:rPr>
      <w:rFonts w:ascii="Arial" w:hAnsi="Arial" w:cs="Arial"/>
      <w:color w:val="000000"/>
      <w:sz w:val="24"/>
      <w:szCs w:val="24"/>
    </w:rPr>
  </w:style>
  <w:style w:type="table" w:styleId="GridTable6Colorful-Accent6">
    <w:name w:val="Grid Table 6 Colorful Accent 6"/>
    <w:basedOn w:val="TableNormal"/>
    <w:uiPriority w:val="51"/>
    <w:rsid w:val="00C202A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6446E7"/>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66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rakashYadav@gov.nl.ca" TargetMode="External"/><Relationship Id="rId13" Type="http://schemas.openxmlformats.org/officeDocument/2006/relationships/hyperlink" Target="https://www.gov.nl.ca/hcs/files/publichealth-cdc-s1-routine-guidlns-schedul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fortheshot.ca/" TargetMode="External"/><Relationship Id="rId12" Type="http://schemas.openxmlformats.org/officeDocument/2006/relationships/hyperlink" Target="https://www.gov.nl.ca/hcs/files/publichealth-cdc-im-section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publications/vaccines-immunization/canadian-immunization-guide-statement-seasonal-influenza-vaccine-2022-2023.html" TargetMode="External"/><Relationship Id="rId5" Type="http://schemas.openxmlformats.org/officeDocument/2006/relationships/footnotes" Target="footnotes.xml"/><Relationship Id="rId15" Type="http://schemas.openxmlformats.org/officeDocument/2006/relationships/hyperlink" Target="https://www.canada.ca/content/dam/phac-aspc/documents/services/immunization/aefi-form-july23-2020-eng.pdf" TargetMode="External"/><Relationship Id="rId10" Type="http://schemas.openxmlformats.org/officeDocument/2006/relationships/hyperlink" Target="https://www.gov.nl.ca/hcs/files/publichealth-cdc-pdf-section-3-routine-immunization-products-dec-3.pdf" TargetMode="External"/><Relationship Id="rId4" Type="http://schemas.openxmlformats.org/officeDocument/2006/relationships/webSettings" Target="webSettings.xml"/><Relationship Id="rId9" Type="http://schemas.openxmlformats.org/officeDocument/2006/relationships/hyperlink" Target="https://www.gov.nl.ca/hcs/files/publichealth-cdc-pdf-section-3-routine-immunization-products-" TargetMode="External"/><Relationship Id="rId14" Type="http://schemas.openxmlformats.org/officeDocument/2006/relationships/hyperlink" Target="https://www.canada.ca/content/dam/phac-aspc/documents/services/immunization/aefi-form-july23-202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5543</Characters>
  <Application>Microsoft Office Word</Application>
  <DocSecurity>0</DocSecurity>
  <Lines>186</Lines>
  <Paragraphs>72</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Ashley</dc:creator>
  <cp:keywords/>
  <dc:description/>
  <cp:lastModifiedBy>Joyce, Ashley</cp:lastModifiedBy>
  <cp:revision>6</cp:revision>
  <cp:lastPrinted>2023-09-15T11:22:00Z</cp:lastPrinted>
  <dcterms:created xsi:type="dcterms:W3CDTF">2023-09-26T18:17:00Z</dcterms:created>
  <dcterms:modified xsi:type="dcterms:W3CDTF">2023-12-08T17:33:00Z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df10f794a03239bdda3eee7cdfd5681c8ab71536d29195ed8e8b7aec14e71a05</vt:lpwstr>
  </property>
</Properties>
</file>